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B2" w:rsidRPr="001D39EA" w:rsidRDefault="00F950B2">
      <w:pPr>
        <w:pStyle w:val="Header"/>
        <w:tabs>
          <w:tab w:val="clear" w:pos="4320"/>
          <w:tab w:val="clear" w:pos="8640"/>
        </w:tabs>
        <w:spacing w:line="240" w:lineRule="auto"/>
        <w:rPr>
          <w:rFonts w:ascii="Lato" w:hAnsi="Lato"/>
        </w:rPr>
      </w:pPr>
      <w:bookmarkStart w:id="0" w:name="_GoBack"/>
      <w:bookmarkEnd w:id="0"/>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8633B4" w:rsidRPr="001D39EA" w:rsidRDefault="008633B4" w:rsidP="008633B4">
      <w:pPr>
        <w:pStyle w:val="CBCoverTitleWhite"/>
        <w:rPr>
          <w:rFonts w:ascii="Lato" w:hAnsi="Lato"/>
        </w:rPr>
      </w:pPr>
      <w:r w:rsidRPr="001D39EA">
        <w:rPr>
          <w:rFonts w:ascii="Lato" w:hAnsi="Lato"/>
        </w:rPr>
        <w:t>Qualifying Investor AIF Application Form Section 3 Instrument of Incorporation</w:t>
      </w:r>
    </w:p>
    <w:p w:rsidR="008633B4" w:rsidRPr="001D39EA" w:rsidRDefault="003146EE" w:rsidP="008633B4">
      <w:pPr>
        <w:pStyle w:val="CBCoverSubtitleLightWhite"/>
        <w:rPr>
          <w:rFonts w:ascii="Lato" w:hAnsi="Lato"/>
        </w:rPr>
      </w:pPr>
      <w:r>
        <w:rPr>
          <w:rFonts w:ascii="Lato" w:hAnsi="Lato"/>
        </w:rPr>
        <w:t>February 2021</w:t>
      </w: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F950B2">
      <w:pPr>
        <w:spacing w:line="240" w:lineRule="auto"/>
        <w:rPr>
          <w:rFonts w:ascii="Lato" w:hAnsi="Lato"/>
        </w:rPr>
      </w:pPr>
    </w:p>
    <w:p w:rsidR="00F950B2" w:rsidRPr="001D39EA" w:rsidRDefault="002E2536">
      <w:pPr>
        <w:spacing w:line="240" w:lineRule="auto"/>
        <w:rPr>
          <w:rFonts w:ascii="Lato" w:hAnsi="Lato"/>
        </w:rPr>
      </w:pPr>
      <w:r w:rsidRPr="001D39EA">
        <w:rPr>
          <w:rFonts w:ascii="Lato" w:hAnsi="Lato"/>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2108835</wp:posOffset>
                </wp:positionH>
                <wp:positionV relativeFrom="paragraph">
                  <wp:posOffset>141605</wp:posOffset>
                </wp:positionV>
                <wp:extent cx="3543300" cy="2286000"/>
                <wp:effectExtent l="381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06" w:rsidRPr="006C2465" w:rsidRDefault="004E0906" w:rsidP="006C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6.05pt;margin-top:11.15pt;width:279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kTuwIAAMI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wvMRK0A4oe2NGgW3lEYWjbM/Q6Ba/7HvzMEc6BZleq7u9k+UUjIdcNFTt2o5QcGkYrSM/d9CdX&#10;RxxtQbbDe1lBHLo30gEda9XZ3kE3EKADTY8XamwuJRzO5mQ2C8BUgi2K4kUAG8jOp+n5eq+0ectk&#10;h+wiwwq4d/D0cKfN6Hp2sdGELHjbOv5b8ewAMMcTCA5Xrc2m4ej8ngTJJt7ExCPRYuORIM+9m2JN&#10;vEURLuf5LF+v8/CHjRuStOFVxYQNc5ZWSP6MupPIR1FcxKVlyysLZ1PSarddtwodKEi7cN+pIRM3&#10;/3karl9Qy4uSwogEt1HiFYt46ZGCzL1kGcReECa3ySIgCcmL5yXdccH+vSQ0ZDiZR/NRTb+tDZh+&#10;IntSG007bmB4tLzLcHxxoqnV4EZUjlpDeTuuJ62w6T+1Aug+E+0Ua0U6ytUct0f3NqLzQ9jK6hEk&#10;rCQIDMQIgw8WjVTfMBpgiGRYf91TxTBq3wl4BklIiJ06bkPmywg2amrZTi1UlACVYYPRuFybcVLt&#10;e8V3DUQaH56QN/B0au5Ebd/YmBVUZDcwKFxtp6FmJ9F077yeRu/qJwAAAP//AwBQSwMEFAAGAAgA&#10;AAAhAHla4avdAAAACgEAAA8AAABkcnMvZG93bnJldi54bWxMj8FOwzAQRO9I/IO1SNyo3QSqNMSp&#10;qiKuIFqo1Jsbb5OIeB3FbhP+nuVEjzvzNDtTrCbXiQsOofWkYT5TIJAqb1uqNXzuXh8yECEasqbz&#10;hBp+MMCqvL0pTG79SB942cZacAiF3GhoYuxzKUPVoDNh5nsk9k5+cCbyOdTSDmbkcNfJRKmFdKYl&#10;/tCYHjcNVt/bs9Pw9XY67B/Ve/3invrRT0qSW0qt7++m9TOIiFP8h+GvPleHkjsd/ZlsEJ2GNE3m&#10;jGpIkhQEA9lSsXBkJ2NFloW8nlD+AgAA//8DAFBLAQItABQABgAIAAAAIQC2gziS/gAAAOEBAAAT&#10;AAAAAAAAAAAAAAAAAAAAAABbQ29udGVudF9UeXBlc10ueG1sUEsBAi0AFAAGAAgAAAAhADj9If/W&#10;AAAAlAEAAAsAAAAAAAAAAAAAAAAALwEAAF9yZWxzLy5yZWxzUEsBAi0AFAAGAAgAAAAhAIUXiRO7&#10;AgAAwgUAAA4AAAAAAAAAAAAAAAAALgIAAGRycy9lMm9Eb2MueG1sUEsBAi0AFAAGAAgAAAAhAHla&#10;4avdAAAACgEAAA8AAAAAAAAAAAAAAAAAFQUAAGRycy9kb3ducmV2LnhtbFBLBQYAAAAABAAEAPMA&#10;AAAfBgAAAAA=&#10;" filled="f" stroked="f">
                <v:textbox>
                  <w:txbxContent>
                    <w:p w:rsidR="004E0906" w:rsidRPr="006C2465" w:rsidRDefault="004E0906" w:rsidP="006C2465"/>
                  </w:txbxContent>
                </v:textbox>
              </v:shape>
            </w:pict>
          </mc:Fallback>
        </mc:AlternateContent>
      </w:r>
    </w:p>
    <w:p w:rsidR="00F950B2" w:rsidRPr="001D39EA" w:rsidRDefault="002E2536">
      <w:pPr>
        <w:spacing w:line="240" w:lineRule="auto"/>
        <w:rPr>
          <w:rFonts w:ascii="Lato" w:hAnsi="Lato"/>
        </w:rPr>
      </w:pPr>
      <w:r w:rsidRPr="001D39EA">
        <w:rPr>
          <w:rFonts w:ascii="Lato" w:hAnsi="Lato"/>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2108835</wp:posOffset>
                </wp:positionH>
                <wp:positionV relativeFrom="paragraph">
                  <wp:posOffset>3181350</wp:posOffset>
                </wp:positionV>
                <wp:extent cx="4000500" cy="685800"/>
                <wp:effectExtent l="3810" t="254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06" w:rsidRDefault="004E0906">
                            <w:pPr>
                              <w:rPr>
                                <w:b/>
                                <w:color w:val="FFFFFF"/>
                                <w:lang w:val="ga-IE"/>
                              </w:rPr>
                            </w:pPr>
                            <w:r>
                              <w:rPr>
                                <w:b/>
                                <w:color w:val="FFFFFF"/>
                                <w:lang w:val="ga-IE"/>
                              </w:rPr>
                              <w:t xml:space="preserve">Instructions Paper    </w:t>
                            </w:r>
                          </w:p>
                          <w:p w:rsidR="004E0906" w:rsidRDefault="004E0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66.05pt;margin-top:250.5pt;width:31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bC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MLLlGQedgdf9AH5mD+fQZkdVD3ey+qqRkMuWig27UUqOLaM1pBfam/7Z&#10;1QlHW5D1+EHWEIdujXRA+0b1tnZQDQTo0KbHU2tsLhUckiAI4gBMFdhmSZzA2oag2fH2oLR5x2SP&#10;7CLHClrv0OnuTpvJ9ehigwlZ8q6Dc5p14tkBYE4nEBuuWpvNwnXzRxqkq2SVEI9Es5VHgqLwbsol&#10;8WZlOI+Ly2K5LMKfNm5IspbXNRM2zFFZIfmzzh00PmnipC0tO15bOJuSVpv1slNoR0HZpfsOBTlz&#10;85+n4eoFXF5QCiMS3EapV86SuUdKEnvpPEi8IExv01lAUlKUzyndccH+nRIac5zGUTyJ6bfcoPHw&#10;veZGs54bmB0d73MMcjg40cxKcCVq11pDeTetz0ph038qBbT72GgnWKvRSa1mv967p3Fpo1sxr2X9&#10;CApWEgQGWoS5B4tWqu8YjTBDcqy/baliGHXvBbyCNCTEDh23IfE8go06t6zPLVRUAJVjg9G0XJpp&#10;UG0HxTctRJrenZA38HIa7kT9lNXhvcGccNwOM80OovO983qavItfAAAA//8DAFBLAwQUAAYACAAA&#10;ACEAOeABE94AAAALAQAADwAAAGRycy9kb3ducmV2LnhtbEyPTU/DMAyG70j8h8hI3FjSjVW01J0Q&#10;iCuI8SFxy1qvrWicqsnW8u/xTuxo+9Hr5y02s+vVkcbQeUZIFgYUceXrjhuEj/fnmztQIVqube+Z&#10;EH4pwKa8vChsXvuJ3+i4jY2SEA65RWhjHHKtQ9WSs2HhB2K57f3obJRxbHQ92knCXa+XxqTa2Y7l&#10;Q2sHemyp+tkeHMLny/7769a8Nk9uPUx+NppdphGvr+aHe1CR5vgPw0lf1KEUp50/cB1Uj7BaLRNB&#10;EdYmkVJCZOlps0NITWZAl4U+71D+AQAA//8DAFBLAQItABQABgAIAAAAIQC2gziS/gAAAOEBAAAT&#10;AAAAAAAAAAAAAAAAAAAAAABbQ29udGVudF9UeXBlc10ueG1sUEsBAi0AFAAGAAgAAAAhADj9If/W&#10;AAAAlAEAAAsAAAAAAAAAAAAAAAAALwEAAF9yZWxzLy5yZWxzUEsBAi0AFAAGAAgAAAAhAMw4dsK6&#10;AgAAwQUAAA4AAAAAAAAAAAAAAAAALgIAAGRycy9lMm9Eb2MueG1sUEsBAi0AFAAGAAgAAAAhADng&#10;ARPeAAAACwEAAA8AAAAAAAAAAAAAAAAAFAUAAGRycy9kb3ducmV2LnhtbFBLBQYAAAAABAAEAPMA&#10;AAAfBgAAAAA=&#10;" filled="f" stroked="f">
                <v:textbox>
                  <w:txbxContent>
                    <w:p w:rsidR="004E0906" w:rsidRDefault="004E0906">
                      <w:pPr>
                        <w:rPr>
                          <w:b/>
                          <w:color w:val="FFFFFF"/>
                          <w:lang w:val="ga-IE"/>
                        </w:rPr>
                      </w:pPr>
                      <w:r>
                        <w:rPr>
                          <w:b/>
                          <w:color w:val="FFFFFF"/>
                          <w:lang w:val="ga-IE"/>
                        </w:rPr>
                        <w:t xml:space="preserve">Instructions Paper    </w:t>
                      </w:r>
                    </w:p>
                    <w:p w:rsidR="004E0906" w:rsidRDefault="004E0906"/>
                  </w:txbxContent>
                </v:textbox>
              </v:shape>
            </w:pict>
          </mc:Fallback>
        </mc:AlternateContent>
      </w:r>
    </w:p>
    <w:p w:rsidR="00F950B2" w:rsidRPr="001D39EA" w:rsidRDefault="00F950B2">
      <w:pPr>
        <w:spacing w:line="240" w:lineRule="auto"/>
        <w:rPr>
          <w:rFonts w:ascii="Lato" w:hAnsi="Lato"/>
        </w:rPr>
        <w:sectPr w:rsidR="00F950B2" w:rsidRPr="001D39EA">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rsidR="00F950B2" w:rsidRPr="001D39EA" w:rsidRDefault="00F950B2">
      <w:pPr>
        <w:spacing w:line="240" w:lineRule="auto"/>
        <w:jc w:val="center"/>
        <w:rPr>
          <w:rFonts w:ascii="Lato" w:hAnsi="Lato"/>
          <w:b/>
          <w:bCs/>
          <w:lang w:val="en-IE"/>
        </w:rPr>
      </w:pPr>
      <w:r w:rsidRPr="001D39EA">
        <w:rPr>
          <w:rFonts w:ascii="Lato" w:hAnsi="Lato"/>
          <w:b/>
          <w:bCs/>
          <w:lang w:val="en-IE"/>
        </w:rPr>
        <w:lastRenderedPageBreak/>
        <w:t>SECTION 3 - CONSTITUTIONAL DOCUMENTS</w:t>
      </w:r>
    </w:p>
    <w:tbl>
      <w:tblPr>
        <w:tblW w:w="11342" w:type="dxa"/>
        <w:tblInd w:w="-1452" w:type="dxa"/>
        <w:tblLayout w:type="fixed"/>
        <w:tblLook w:val="0000" w:firstRow="0" w:lastRow="0" w:firstColumn="0" w:lastColumn="0" w:noHBand="0" w:noVBand="0"/>
      </w:tblPr>
      <w:tblGrid>
        <w:gridCol w:w="925"/>
        <w:gridCol w:w="102"/>
        <w:gridCol w:w="107"/>
        <w:gridCol w:w="8309"/>
        <w:gridCol w:w="24"/>
        <w:gridCol w:w="881"/>
        <w:gridCol w:w="142"/>
        <w:gridCol w:w="236"/>
        <w:gridCol w:w="473"/>
        <w:gridCol w:w="38"/>
        <w:gridCol w:w="105"/>
      </w:tblGrid>
      <w:tr w:rsidR="00791B15" w:rsidRPr="00DC0539" w:rsidTr="0062628E">
        <w:trPr>
          <w:gridAfter w:val="1"/>
          <w:wAfter w:w="105" w:type="dxa"/>
          <w:trHeight w:val="863"/>
        </w:trPr>
        <w:tc>
          <w:tcPr>
            <w:tcW w:w="925" w:type="dxa"/>
          </w:tcPr>
          <w:p w:rsidR="00F950B2" w:rsidRPr="001D39EA" w:rsidRDefault="00F950B2">
            <w:pPr>
              <w:spacing w:line="240" w:lineRule="auto"/>
              <w:rPr>
                <w:rFonts w:ascii="Lato" w:hAnsi="Lato"/>
                <w:lang w:val="en-IE"/>
              </w:rPr>
            </w:pPr>
          </w:p>
        </w:tc>
        <w:tc>
          <w:tcPr>
            <w:tcW w:w="9423" w:type="dxa"/>
            <w:gridSpan w:val="5"/>
            <w:vAlign w:val="center"/>
          </w:tcPr>
          <w:p w:rsidR="00F950B2" w:rsidRPr="001D39EA" w:rsidRDefault="008F6559" w:rsidP="008F6559">
            <w:pPr>
              <w:pStyle w:val="Heading6"/>
              <w:jc w:val="center"/>
              <w:rPr>
                <w:rFonts w:ascii="Lato" w:hAnsi="Lato"/>
                <w:sz w:val="22"/>
                <w:lang w:val="en-IE"/>
              </w:rPr>
            </w:pPr>
            <w:r w:rsidRPr="001D39EA">
              <w:rPr>
                <w:rFonts w:ascii="Lato" w:hAnsi="Lato"/>
                <w:sz w:val="22"/>
              </w:rPr>
              <w:t>INSTRUMENT OF INCORPORATION</w:t>
            </w:r>
          </w:p>
        </w:tc>
        <w:tc>
          <w:tcPr>
            <w:tcW w:w="889" w:type="dxa"/>
            <w:gridSpan w:val="4"/>
            <w:textDirection w:val="btLr"/>
          </w:tcPr>
          <w:p w:rsidR="00F950B2" w:rsidRPr="001D39EA" w:rsidRDefault="00F950B2">
            <w:pPr>
              <w:spacing w:line="240" w:lineRule="auto"/>
              <w:ind w:left="113" w:right="113"/>
              <w:rPr>
                <w:rFonts w:ascii="Lato" w:hAnsi="Lato"/>
                <w:b/>
                <w:bCs/>
                <w:lang w:val="en-IE"/>
              </w:rPr>
            </w:pPr>
          </w:p>
        </w:tc>
      </w:tr>
      <w:tr w:rsidR="00791B15" w:rsidRPr="00DC0539" w:rsidTr="0062628E">
        <w:trPr>
          <w:gridAfter w:val="1"/>
          <w:wAfter w:w="105" w:type="dxa"/>
        </w:trPr>
        <w:tc>
          <w:tcPr>
            <w:tcW w:w="925" w:type="dxa"/>
          </w:tcPr>
          <w:p w:rsidR="00F950B2" w:rsidRPr="001D39EA" w:rsidRDefault="00F950B2">
            <w:pPr>
              <w:spacing w:line="240" w:lineRule="auto"/>
              <w:rPr>
                <w:rFonts w:ascii="Lato" w:hAnsi="Lato"/>
                <w:szCs w:val="22"/>
                <w:lang w:val="en-IE"/>
              </w:rPr>
            </w:pPr>
          </w:p>
        </w:tc>
        <w:tc>
          <w:tcPr>
            <w:tcW w:w="9423" w:type="dxa"/>
            <w:gridSpan w:val="5"/>
            <w:tcBorders>
              <w:bottom w:val="single" w:sz="4" w:space="0" w:color="auto"/>
            </w:tcBorders>
          </w:tcPr>
          <w:p w:rsidR="00F950B2" w:rsidRPr="001D39EA" w:rsidRDefault="00F950B2">
            <w:pPr>
              <w:spacing w:line="240" w:lineRule="auto"/>
              <w:jc w:val="both"/>
              <w:rPr>
                <w:rFonts w:ascii="Lato" w:hAnsi="Lato"/>
                <w:szCs w:val="22"/>
                <w:lang w:val="en-IE"/>
              </w:rPr>
            </w:pPr>
          </w:p>
        </w:tc>
        <w:tc>
          <w:tcPr>
            <w:tcW w:w="889" w:type="dxa"/>
            <w:gridSpan w:val="4"/>
            <w:tcBorders>
              <w:left w:val="nil"/>
            </w:tcBorders>
          </w:tcPr>
          <w:p w:rsidR="00F950B2" w:rsidRPr="001D39EA" w:rsidRDefault="00F950B2">
            <w:pPr>
              <w:spacing w:line="240" w:lineRule="auto"/>
              <w:rPr>
                <w:rFonts w:ascii="Lato" w:hAnsi="Lato"/>
                <w:b/>
                <w:bCs/>
                <w:szCs w:val="22"/>
                <w:lang w:val="en-IE"/>
              </w:rPr>
            </w:pPr>
            <w:r w:rsidRPr="001D39EA">
              <w:rPr>
                <w:rFonts w:ascii="Lato" w:hAnsi="Lato"/>
                <w:b/>
                <w:bCs/>
                <w:szCs w:val="22"/>
                <w:lang w:val="en-IE"/>
              </w:rPr>
              <w:t>Article No.</w:t>
            </w:r>
          </w:p>
        </w:tc>
      </w:tr>
      <w:tr w:rsidR="00791B15" w:rsidRPr="00DC0539" w:rsidTr="0062628E">
        <w:trPr>
          <w:gridAfter w:val="1"/>
          <w:wAfter w:w="105" w:type="dxa"/>
        </w:trPr>
        <w:tc>
          <w:tcPr>
            <w:tcW w:w="925" w:type="dxa"/>
            <w:tcBorders>
              <w:right w:val="single" w:sz="4" w:space="0" w:color="auto"/>
            </w:tcBorders>
          </w:tcPr>
          <w:p w:rsidR="00F950B2" w:rsidRPr="001D39EA" w:rsidRDefault="00F950B2">
            <w:pPr>
              <w:spacing w:line="240" w:lineRule="auto"/>
              <w:rPr>
                <w:rFonts w:ascii="Lato" w:hAnsi="Lato"/>
                <w:b/>
                <w:bCs/>
                <w:szCs w:val="22"/>
                <w:lang w:val="en-IE"/>
              </w:rPr>
            </w:pPr>
            <w:r w:rsidRPr="001D39EA">
              <w:rPr>
                <w:rFonts w:ascii="Lato" w:hAnsi="Lato"/>
                <w:b/>
                <w:bCs/>
                <w:szCs w:val="22"/>
                <w:lang w:val="en-IE"/>
              </w:rPr>
              <w:t>3.1</w:t>
            </w:r>
          </w:p>
        </w:tc>
        <w:tc>
          <w:tcPr>
            <w:tcW w:w="9423" w:type="dxa"/>
            <w:gridSpan w:val="5"/>
            <w:tcBorders>
              <w:top w:val="single" w:sz="4" w:space="0" w:color="auto"/>
              <w:left w:val="single" w:sz="4" w:space="0" w:color="auto"/>
              <w:bottom w:val="single" w:sz="4" w:space="0" w:color="auto"/>
              <w:right w:val="single" w:sz="4" w:space="0" w:color="auto"/>
            </w:tcBorders>
          </w:tcPr>
          <w:p w:rsidR="00F950B2" w:rsidRPr="001D39EA" w:rsidRDefault="00F950B2">
            <w:pPr>
              <w:pStyle w:val="Heading6"/>
              <w:jc w:val="both"/>
              <w:rPr>
                <w:rFonts w:ascii="Lato" w:hAnsi="Lato"/>
                <w:sz w:val="22"/>
                <w:szCs w:val="22"/>
                <w:lang w:val="en-IE"/>
              </w:rPr>
            </w:pPr>
            <w:r w:rsidRPr="001D39EA">
              <w:rPr>
                <w:rFonts w:ascii="Lato" w:hAnsi="Lato"/>
                <w:sz w:val="22"/>
                <w:szCs w:val="22"/>
                <w:lang w:val="en-IE"/>
              </w:rPr>
              <w:t>General</w:t>
            </w:r>
          </w:p>
        </w:tc>
        <w:tc>
          <w:tcPr>
            <w:tcW w:w="889" w:type="dxa"/>
            <w:gridSpan w:val="4"/>
            <w:tcBorders>
              <w:lef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trPr>
        <w:tc>
          <w:tcPr>
            <w:tcW w:w="925" w:type="dxa"/>
          </w:tcPr>
          <w:p w:rsidR="00F950B2" w:rsidRPr="001D39EA" w:rsidRDefault="00F950B2">
            <w:pPr>
              <w:spacing w:line="240" w:lineRule="auto"/>
              <w:rPr>
                <w:rFonts w:ascii="Lato" w:hAnsi="Lato"/>
                <w:szCs w:val="22"/>
                <w:lang w:val="en-IE"/>
              </w:rPr>
            </w:pPr>
          </w:p>
        </w:tc>
        <w:tc>
          <w:tcPr>
            <w:tcW w:w="9423" w:type="dxa"/>
            <w:gridSpan w:val="5"/>
            <w:tcBorders>
              <w:top w:val="single" w:sz="4" w:space="0" w:color="auto"/>
            </w:tcBorders>
          </w:tcPr>
          <w:p w:rsidR="00F950B2" w:rsidRPr="001D39EA" w:rsidRDefault="00F950B2">
            <w:pPr>
              <w:spacing w:line="240" w:lineRule="auto"/>
              <w:jc w:val="both"/>
              <w:rPr>
                <w:rFonts w:ascii="Lato" w:hAnsi="Lato"/>
                <w:szCs w:val="22"/>
                <w:lang w:val="en-IE"/>
              </w:rPr>
            </w:pPr>
          </w:p>
        </w:tc>
        <w:tc>
          <w:tcPr>
            <w:tcW w:w="889" w:type="dxa"/>
            <w:gridSpan w:val="4"/>
            <w:tcBorders>
              <w:bottom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3"/>
        </w:trPr>
        <w:tc>
          <w:tcPr>
            <w:tcW w:w="925" w:type="dxa"/>
            <w:vMerge w:val="restart"/>
          </w:tcPr>
          <w:p w:rsidR="00F950B2" w:rsidRPr="001D39EA" w:rsidRDefault="00F950B2" w:rsidP="004517A9">
            <w:pPr>
              <w:spacing w:line="240" w:lineRule="auto"/>
              <w:rPr>
                <w:rFonts w:ascii="Lato" w:hAnsi="Lato"/>
                <w:szCs w:val="22"/>
                <w:lang w:val="en-IE"/>
              </w:rPr>
            </w:pPr>
            <w:r w:rsidRPr="001D39EA">
              <w:rPr>
                <w:rFonts w:ascii="Lato" w:hAnsi="Lato"/>
                <w:szCs w:val="22"/>
                <w:lang w:val="en-IE"/>
              </w:rPr>
              <w:t>3.1.</w:t>
            </w:r>
            <w:r w:rsidR="004517A9" w:rsidRPr="001D39EA">
              <w:rPr>
                <w:rFonts w:ascii="Lato" w:hAnsi="Lato"/>
                <w:szCs w:val="22"/>
                <w:lang w:val="en-IE"/>
              </w:rPr>
              <w:t>1</w:t>
            </w:r>
          </w:p>
        </w:tc>
        <w:tc>
          <w:tcPr>
            <w:tcW w:w="9423" w:type="dxa"/>
            <w:gridSpan w:val="5"/>
            <w:vMerge w:val="restart"/>
            <w:tcBorders>
              <w:right w:val="single" w:sz="4" w:space="0" w:color="auto"/>
            </w:tcBorders>
          </w:tcPr>
          <w:p w:rsidR="00F950B2" w:rsidRPr="001D39EA" w:rsidRDefault="00F950B2" w:rsidP="004517A9">
            <w:pPr>
              <w:spacing w:line="240" w:lineRule="auto"/>
              <w:jc w:val="both"/>
              <w:rPr>
                <w:rFonts w:ascii="Lato" w:hAnsi="Lato"/>
                <w:szCs w:val="22"/>
                <w:lang w:val="en-IE"/>
              </w:rPr>
            </w:pPr>
            <w:r w:rsidRPr="001D39EA">
              <w:rPr>
                <w:rFonts w:ascii="Lato" w:hAnsi="Lato"/>
                <w:szCs w:val="22"/>
                <w:lang w:val="en-IE"/>
              </w:rPr>
              <w:t xml:space="preserve">Provide that the sole object of the </w:t>
            </w:r>
            <w:r w:rsidR="00FF4AEE" w:rsidRPr="001D39EA">
              <w:rPr>
                <w:rFonts w:ascii="Lato" w:hAnsi="Lato"/>
                <w:szCs w:val="22"/>
                <w:lang w:val="en-IE"/>
              </w:rPr>
              <w:t xml:space="preserve">ICAV </w:t>
            </w:r>
            <w:r w:rsidRPr="001D39EA">
              <w:rPr>
                <w:rFonts w:ascii="Lato" w:hAnsi="Lato"/>
                <w:szCs w:val="22"/>
                <w:lang w:val="en-IE"/>
              </w:rPr>
              <w:t>“</w:t>
            </w:r>
            <w:r w:rsidR="00FF4AEE" w:rsidRPr="001D39EA">
              <w:rPr>
                <w:rFonts w:ascii="Lato" w:hAnsi="Lato"/>
                <w:szCs w:val="22"/>
                <w:lang w:val="en-IE"/>
              </w:rPr>
              <w:t xml:space="preserve"> shall be the collective investment of its funds in property and giving members the benefit of the results of the management of its funds</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vMerge/>
          </w:tcPr>
          <w:p w:rsidR="00F950B2" w:rsidRPr="001D39EA" w:rsidRDefault="00F950B2">
            <w:pPr>
              <w:spacing w:line="240" w:lineRule="auto"/>
              <w:rPr>
                <w:rFonts w:ascii="Lato" w:hAnsi="Lato"/>
                <w:szCs w:val="22"/>
                <w:lang w:val="en-IE"/>
              </w:rPr>
            </w:pPr>
          </w:p>
        </w:tc>
        <w:tc>
          <w:tcPr>
            <w:tcW w:w="9423" w:type="dxa"/>
            <w:gridSpan w:val="5"/>
            <w:vMerge/>
          </w:tcPr>
          <w:p w:rsidR="00F950B2" w:rsidRPr="001D39EA"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vMerge/>
          </w:tcPr>
          <w:p w:rsidR="00F950B2" w:rsidRPr="001D39EA" w:rsidRDefault="00F950B2">
            <w:pPr>
              <w:spacing w:line="240" w:lineRule="auto"/>
              <w:rPr>
                <w:rFonts w:ascii="Lato" w:hAnsi="Lato"/>
                <w:szCs w:val="22"/>
                <w:lang w:val="en-IE"/>
              </w:rPr>
            </w:pPr>
          </w:p>
        </w:tc>
        <w:tc>
          <w:tcPr>
            <w:tcW w:w="9423" w:type="dxa"/>
            <w:gridSpan w:val="5"/>
            <w:vMerge/>
          </w:tcPr>
          <w:p w:rsidR="00F950B2" w:rsidRPr="001D39EA" w:rsidRDefault="00F950B2">
            <w:pPr>
              <w:spacing w:line="240" w:lineRule="auto"/>
              <w:jc w:val="both"/>
              <w:rPr>
                <w:rFonts w:ascii="Lato" w:hAnsi="Lato"/>
                <w:szCs w:val="22"/>
                <w:lang w:val="en-IE"/>
              </w:rPr>
            </w:pPr>
          </w:p>
        </w:tc>
        <w:tc>
          <w:tcPr>
            <w:tcW w:w="889" w:type="dxa"/>
            <w:gridSpan w:val="4"/>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5"/>
        </w:trPr>
        <w:tc>
          <w:tcPr>
            <w:tcW w:w="925" w:type="dxa"/>
            <w:vMerge w:val="restart"/>
          </w:tcPr>
          <w:p w:rsidR="00F950B2" w:rsidRPr="001D39EA" w:rsidRDefault="00F950B2" w:rsidP="004517A9">
            <w:pPr>
              <w:spacing w:line="240" w:lineRule="auto"/>
              <w:rPr>
                <w:rFonts w:ascii="Lato" w:hAnsi="Lato"/>
                <w:szCs w:val="22"/>
                <w:lang w:val="en-IE"/>
              </w:rPr>
            </w:pPr>
            <w:r w:rsidRPr="001D39EA">
              <w:rPr>
                <w:rFonts w:ascii="Lato" w:hAnsi="Lato"/>
                <w:szCs w:val="22"/>
                <w:lang w:val="en-IE"/>
              </w:rPr>
              <w:t>3.1.</w:t>
            </w:r>
            <w:r w:rsidR="004517A9" w:rsidRPr="001D39EA">
              <w:rPr>
                <w:rFonts w:ascii="Lato" w:hAnsi="Lato"/>
                <w:szCs w:val="22"/>
                <w:lang w:val="en-IE"/>
              </w:rPr>
              <w:t>2</w:t>
            </w:r>
          </w:p>
        </w:tc>
        <w:tc>
          <w:tcPr>
            <w:tcW w:w="9423" w:type="dxa"/>
            <w:gridSpan w:val="5"/>
            <w:vMerge w:val="restart"/>
            <w:tcBorders>
              <w:right w:val="single" w:sz="4" w:space="0" w:color="auto"/>
            </w:tcBorders>
          </w:tcPr>
          <w:p w:rsidR="005E38C0" w:rsidRPr="001D39EA" w:rsidRDefault="00F950B2" w:rsidP="00FF4AEE">
            <w:pPr>
              <w:spacing w:line="240" w:lineRule="auto"/>
              <w:jc w:val="both"/>
              <w:rPr>
                <w:rFonts w:ascii="Lato" w:hAnsi="Lato"/>
                <w:szCs w:val="22"/>
                <w:lang w:val="en-IE"/>
              </w:rPr>
            </w:pPr>
            <w:r w:rsidRPr="001D39EA">
              <w:rPr>
                <w:rFonts w:ascii="Lato" w:hAnsi="Lato"/>
                <w:szCs w:val="22"/>
                <w:lang w:val="en-IE"/>
              </w:rPr>
              <w:t xml:space="preserve">Provide that the </w:t>
            </w:r>
            <w:r w:rsidR="00FF4AEE" w:rsidRPr="001D39EA">
              <w:rPr>
                <w:rFonts w:ascii="Lato" w:hAnsi="Lato"/>
                <w:szCs w:val="22"/>
                <w:lang w:val="en-IE"/>
              </w:rPr>
              <w:t>instrument of incorporation</w:t>
            </w:r>
            <w:r w:rsidRPr="001D39EA">
              <w:rPr>
                <w:rFonts w:ascii="Lato" w:hAnsi="Lato"/>
                <w:szCs w:val="22"/>
                <w:lang w:val="en-IE"/>
              </w:rPr>
              <w:t xml:space="preserve"> cannot be amended without the prior approval of the </w:t>
            </w:r>
            <w:r w:rsidR="006C2465" w:rsidRPr="001D39EA">
              <w:rPr>
                <w:rFonts w:ascii="Lato" w:hAnsi="Lato"/>
                <w:szCs w:val="22"/>
                <w:lang w:val="en-IE"/>
              </w:rPr>
              <w:t xml:space="preserve">Central Bank </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4"/>
        </w:trPr>
        <w:tc>
          <w:tcPr>
            <w:tcW w:w="925" w:type="dxa"/>
            <w:vMerge/>
          </w:tcPr>
          <w:p w:rsidR="00F950B2" w:rsidRPr="001D39EA" w:rsidRDefault="00F950B2">
            <w:pPr>
              <w:spacing w:line="240" w:lineRule="auto"/>
              <w:rPr>
                <w:rFonts w:ascii="Lato" w:hAnsi="Lato"/>
                <w:szCs w:val="22"/>
                <w:lang w:val="en-IE"/>
              </w:rPr>
            </w:pPr>
          </w:p>
        </w:tc>
        <w:tc>
          <w:tcPr>
            <w:tcW w:w="9423" w:type="dxa"/>
            <w:gridSpan w:val="5"/>
            <w:vMerge/>
          </w:tcPr>
          <w:p w:rsidR="00F950B2" w:rsidRPr="001D39EA"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4"/>
        </w:trPr>
        <w:tc>
          <w:tcPr>
            <w:tcW w:w="925" w:type="dxa"/>
          </w:tcPr>
          <w:p w:rsidR="00AF2D7A" w:rsidRPr="001D39EA" w:rsidRDefault="00AF2D7A">
            <w:pPr>
              <w:spacing w:line="240" w:lineRule="auto"/>
              <w:rPr>
                <w:rFonts w:ascii="Lato" w:hAnsi="Lato"/>
                <w:szCs w:val="22"/>
                <w:lang w:val="en-IE"/>
              </w:rPr>
            </w:pPr>
          </w:p>
        </w:tc>
        <w:tc>
          <w:tcPr>
            <w:tcW w:w="9423" w:type="dxa"/>
            <w:gridSpan w:val="5"/>
          </w:tcPr>
          <w:p w:rsidR="00AF2D7A" w:rsidRPr="001D39EA" w:rsidRDefault="00AF2D7A">
            <w:pPr>
              <w:spacing w:line="240" w:lineRule="auto"/>
              <w:jc w:val="both"/>
              <w:rPr>
                <w:rFonts w:ascii="Lato" w:hAnsi="Lato"/>
                <w:szCs w:val="22"/>
                <w:lang w:val="en-IE"/>
              </w:rPr>
            </w:pPr>
          </w:p>
        </w:tc>
        <w:tc>
          <w:tcPr>
            <w:tcW w:w="889" w:type="dxa"/>
            <w:gridSpan w:val="4"/>
            <w:tcBorders>
              <w:bottom w:val="single" w:sz="4" w:space="0" w:color="auto"/>
            </w:tcBorders>
          </w:tcPr>
          <w:p w:rsidR="00AF2D7A" w:rsidRPr="001D39EA" w:rsidRDefault="00AF2D7A">
            <w:pPr>
              <w:spacing w:line="240" w:lineRule="auto"/>
              <w:rPr>
                <w:rFonts w:ascii="Lato" w:hAnsi="Lato"/>
                <w:szCs w:val="22"/>
                <w:lang w:val="en-IE"/>
              </w:rPr>
            </w:pPr>
          </w:p>
        </w:tc>
      </w:tr>
      <w:tr w:rsidR="00791B15" w:rsidRPr="00DC0539" w:rsidTr="0062628E">
        <w:trPr>
          <w:gridAfter w:val="1"/>
          <w:wAfter w:w="105" w:type="dxa"/>
          <w:cantSplit/>
          <w:trHeight w:val="254"/>
        </w:trPr>
        <w:tc>
          <w:tcPr>
            <w:tcW w:w="925" w:type="dxa"/>
          </w:tcPr>
          <w:p w:rsidR="00AF2D7A" w:rsidRPr="001D39EA" w:rsidRDefault="00AF2D7A" w:rsidP="004517A9">
            <w:pPr>
              <w:spacing w:line="240" w:lineRule="auto"/>
              <w:rPr>
                <w:rFonts w:ascii="Lato" w:hAnsi="Lato"/>
                <w:szCs w:val="22"/>
                <w:lang w:val="en-IE"/>
              </w:rPr>
            </w:pPr>
            <w:r w:rsidRPr="001D39EA">
              <w:rPr>
                <w:rFonts w:ascii="Lato" w:hAnsi="Lato"/>
                <w:szCs w:val="22"/>
                <w:lang w:val="en-IE"/>
              </w:rPr>
              <w:t>3.1.</w:t>
            </w:r>
            <w:r w:rsidR="004517A9" w:rsidRPr="001D39EA">
              <w:rPr>
                <w:rFonts w:ascii="Lato" w:hAnsi="Lato"/>
                <w:szCs w:val="22"/>
                <w:lang w:val="en-IE"/>
              </w:rPr>
              <w:t>3</w:t>
            </w:r>
          </w:p>
        </w:tc>
        <w:tc>
          <w:tcPr>
            <w:tcW w:w="9423" w:type="dxa"/>
            <w:gridSpan w:val="5"/>
            <w:tcBorders>
              <w:right w:val="single" w:sz="4" w:space="0" w:color="auto"/>
            </w:tcBorders>
          </w:tcPr>
          <w:p w:rsidR="00AF2D7A" w:rsidRPr="001D39EA" w:rsidRDefault="00AF2D7A" w:rsidP="00382881">
            <w:pPr>
              <w:spacing w:line="240" w:lineRule="auto"/>
              <w:jc w:val="both"/>
              <w:rPr>
                <w:rFonts w:ascii="Lato" w:hAnsi="Lato"/>
                <w:szCs w:val="22"/>
                <w:lang w:val="en-IE"/>
              </w:rPr>
            </w:pPr>
            <w:r w:rsidRPr="001D39EA">
              <w:rPr>
                <w:rFonts w:ascii="Lato" w:hAnsi="Lato"/>
                <w:szCs w:val="22"/>
                <w:lang w:val="en-IE"/>
              </w:rPr>
              <w:t xml:space="preserve">Provide that the Qualifying Investor AIF </w:t>
            </w:r>
            <w:r w:rsidR="00382881" w:rsidRPr="001D39EA">
              <w:rPr>
                <w:rFonts w:ascii="Lato" w:hAnsi="Lato"/>
                <w:szCs w:val="22"/>
                <w:lang w:val="en-IE"/>
              </w:rPr>
              <w:t>shall entrust its assets</w:t>
            </w:r>
            <w:r w:rsidRPr="001D39EA">
              <w:rPr>
                <w:rFonts w:ascii="Lato" w:hAnsi="Lato"/>
                <w:szCs w:val="22"/>
                <w:lang w:val="en-IE"/>
              </w:rPr>
              <w:t xml:space="preserve"> to the</w:t>
            </w:r>
            <w:r w:rsidR="00382881" w:rsidRPr="001D39EA">
              <w:rPr>
                <w:rFonts w:ascii="Lato" w:hAnsi="Lato"/>
                <w:szCs w:val="22"/>
                <w:lang w:val="en-IE"/>
              </w:rPr>
              <w:t xml:space="preserve"> depositary for safe-keeping</w:t>
            </w:r>
          </w:p>
        </w:tc>
        <w:tc>
          <w:tcPr>
            <w:tcW w:w="889" w:type="dxa"/>
            <w:gridSpan w:val="4"/>
            <w:tcBorders>
              <w:top w:val="single" w:sz="4" w:space="0" w:color="auto"/>
              <w:left w:val="single" w:sz="4" w:space="0" w:color="auto"/>
              <w:bottom w:val="single" w:sz="4" w:space="0" w:color="auto"/>
              <w:right w:val="single" w:sz="4" w:space="0" w:color="auto"/>
            </w:tcBorders>
          </w:tcPr>
          <w:p w:rsidR="00AF2D7A" w:rsidRPr="001D39EA" w:rsidRDefault="00AF2D7A">
            <w:pPr>
              <w:spacing w:line="240" w:lineRule="auto"/>
              <w:rPr>
                <w:rFonts w:ascii="Lato" w:hAnsi="Lato"/>
                <w:szCs w:val="22"/>
                <w:lang w:val="en-IE"/>
              </w:rPr>
            </w:pPr>
          </w:p>
        </w:tc>
      </w:tr>
      <w:tr w:rsidR="00791B15" w:rsidRPr="00DC0539" w:rsidTr="0062628E">
        <w:trPr>
          <w:gridAfter w:val="1"/>
          <w:wAfter w:w="105" w:type="dxa"/>
          <w:cantSplit/>
          <w:trHeight w:val="254"/>
        </w:trPr>
        <w:tc>
          <w:tcPr>
            <w:tcW w:w="925" w:type="dxa"/>
          </w:tcPr>
          <w:p w:rsidR="00AF2D7A" w:rsidRPr="001D39EA" w:rsidRDefault="00AF2D7A">
            <w:pPr>
              <w:spacing w:line="240" w:lineRule="auto"/>
              <w:rPr>
                <w:rFonts w:ascii="Lato" w:hAnsi="Lato"/>
                <w:szCs w:val="22"/>
                <w:lang w:val="en-IE"/>
              </w:rPr>
            </w:pPr>
          </w:p>
        </w:tc>
        <w:tc>
          <w:tcPr>
            <w:tcW w:w="9423" w:type="dxa"/>
            <w:gridSpan w:val="5"/>
          </w:tcPr>
          <w:p w:rsidR="00AF2D7A" w:rsidRPr="001D39EA" w:rsidRDefault="00AF2D7A">
            <w:pPr>
              <w:spacing w:line="240" w:lineRule="auto"/>
              <w:jc w:val="both"/>
              <w:rPr>
                <w:rFonts w:ascii="Lato" w:hAnsi="Lato"/>
                <w:szCs w:val="22"/>
                <w:lang w:val="en-IE"/>
              </w:rPr>
            </w:pPr>
          </w:p>
        </w:tc>
        <w:tc>
          <w:tcPr>
            <w:tcW w:w="889" w:type="dxa"/>
            <w:gridSpan w:val="4"/>
            <w:tcBorders>
              <w:top w:val="single" w:sz="4" w:space="0" w:color="auto"/>
            </w:tcBorders>
          </w:tcPr>
          <w:p w:rsidR="00AF2D7A" w:rsidRPr="001D39EA" w:rsidRDefault="00AF2D7A">
            <w:pPr>
              <w:spacing w:line="240" w:lineRule="auto"/>
              <w:rPr>
                <w:rFonts w:ascii="Lato" w:hAnsi="Lato"/>
                <w:szCs w:val="22"/>
                <w:lang w:val="en-IE"/>
              </w:rPr>
            </w:pPr>
          </w:p>
        </w:tc>
      </w:tr>
      <w:tr w:rsidR="00791B15" w:rsidRPr="00DC0539" w:rsidTr="004517A9">
        <w:trPr>
          <w:gridAfter w:val="1"/>
          <w:wAfter w:w="105" w:type="dxa"/>
          <w:cantSplit/>
          <w:trHeight w:val="254"/>
        </w:trPr>
        <w:tc>
          <w:tcPr>
            <w:tcW w:w="925" w:type="dxa"/>
          </w:tcPr>
          <w:p w:rsidR="00120356" w:rsidRPr="001D39EA" w:rsidRDefault="00120356" w:rsidP="004517A9">
            <w:pPr>
              <w:spacing w:line="240" w:lineRule="auto"/>
              <w:rPr>
                <w:rFonts w:ascii="Lato" w:hAnsi="Lato"/>
                <w:szCs w:val="22"/>
                <w:lang w:val="en-IE"/>
              </w:rPr>
            </w:pPr>
            <w:r w:rsidRPr="001D39EA">
              <w:rPr>
                <w:rFonts w:ascii="Lato" w:hAnsi="Lato"/>
                <w:szCs w:val="22"/>
                <w:lang w:val="en-IE"/>
              </w:rPr>
              <w:t>3.1.</w:t>
            </w:r>
            <w:r w:rsidR="004517A9" w:rsidRPr="001D39EA">
              <w:rPr>
                <w:rFonts w:ascii="Lato" w:hAnsi="Lato"/>
                <w:szCs w:val="22"/>
                <w:lang w:val="en-IE"/>
              </w:rPr>
              <w:t>4</w:t>
            </w:r>
          </w:p>
        </w:tc>
        <w:tc>
          <w:tcPr>
            <w:tcW w:w="9423" w:type="dxa"/>
            <w:gridSpan w:val="5"/>
            <w:tcBorders>
              <w:right w:val="single" w:sz="4" w:space="0" w:color="auto"/>
            </w:tcBorders>
          </w:tcPr>
          <w:p w:rsidR="00120356" w:rsidRPr="001D39EA" w:rsidDel="00382881" w:rsidRDefault="00120356" w:rsidP="00C5549F">
            <w:pPr>
              <w:spacing w:line="240" w:lineRule="auto"/>
              <w:jc w:val="both"/>
              <w:rPr>
                <w:rFonts w:ascii="Lato" w:hAnsi="Lato"/>
                <w:szCs w:val="22"/>
                <w:lang w:val="en-IE"/>
              </w:rPr>
            </w:pPr>
            <w:r w:rsidRPr="001D39EA">
              <w:rPr>
                <w:rFonts w:ascii="Lato" w:hAnsi="Lato"/>
                <w:szCs w:val="22"/>
                <w:lang w:val="en-IE"/>
              </w:rPr>
              <w:t xml:space="preserve">Provide that </w:t>
            </w:r>
            <w:r w:rsidR="00C5549F" w:rsidRPr="001D39EA">
              <w:rPr>
                <w:rFonts w:ascii="Lato" w:hAnsi="Lato"/>
                <w:szCs w:val="22"/>
                <w:lang w:val="en-IE"/>
              </w:rPr>
              <w:t xml:space="preserve">the AIFM must make available the </w:t>
            </w:r>
            <w:r w:rsidRPr="001D39EA">
              <w:rPr>
                <w:rFonts w:ascii="Lato" w:hAnsi="Lato"/>
                <w:szCs w:val="22"/>
                <w:lang w:val="en-IE"/>
              </w:rPr>
              <w:t xml:space="preserve">information required by the AIFMD Regulations </w:t>
            </w:r>
          </w:p>
        </w:tc>
        <w:tc>
          <w:tcPr>
            <w:tcW w:w="889" w:type="dxa"/>
            <w:gridSpan w:val="4"/>
            <w:tcBorders>
              <w:top w:val="single" w:sz="4" w:space="0" w:color="auto"/>
              <w:left w:val="single" w:sz="4" w:space="0" w:color="auto"/>
              <w:bottom w:val="single" w:sz="4" w:space="0" w:color="auto"/>
              <w:right w:val="single" w:sz="4" w:space="0" w:color="auto"/>
            </w:tcBorders>
          </w:tcPr>
          <w:p w:rsidR="00120356" w:rsidRPr="001D39EA" w:rsidRDefault="00120356">
            <w:pPr>
              <w:spacing w:line="240" w:lineRule="auto"/>
              <w:rPr>
                <w:rFonts w:ascii="Lato" w:hAnsi="Lato"/>
                <w:szCs w:val="22"/>
                <w:lang w:val="en-IE"/>
              </w:rPr>
            </w:pPr>
          </w:p>
        </w:tc>
      </w:tr>
      <w:tr w:rsidR="008F6559" w:rsidRPr="00DC0539" w:rsidTr="008F6559">
        <w:trPr>
          <w:gridAfter w:val="1"/>
          <w:wAfter w:w="105" w:type="dxa"/>
          <w:cantSplit/>
          <w:trHeight w:val="254"/>
        </w:trPr>
        <w:tc>
          <w:tcPr>
            <w:tcW w:w="925" w:type="dxa"/>
          </w:tcPr>
          <w:p w:rsidR="008F6559" w:rsidRPr="001D39EA" w:rsidRDefault="008F6559">
            <w:pPr>
              <w:spacing w:line="240" w:lineRule="auto"/>
              <w:rPr>
                <w:rFonts w:ascii="Lato" w:hAnsi="Lato"/>
                <w:szCs w:val="22"/>
                <w:lang w:val="en-IE"/>
              </w:rPr>
            </w:pPr>
          </w:p>
        </w:tc>
        <w:tc>
          <w:tcPr>
            <w:tcW w:w="9423" w:type="dxa"/>
            <w:gridSpan w:val="5"/>
          </w:tcPr>
          <w:p w:rsidR="008F6559" w:rsidRPr="001D39EA" w:rsidRDefault="008F6559" w:rsidP="00C5549F">
            <w:pPr>
              <w:spacing w:line="240" w:lineRule="auto"/>
              <w:jc w:val="both"/>
              <w:rPr>
                <w:rFonts w:ascii="Lato" w:hAnsi="Lato"/>
                <w:szCs w:val="22"/>
                <w:lang w:val="en-IE"/>
              </w:rPr>
            </w:pPr>
            <w:r w:rsidRPr="001D39EA">
              <w:rPr>
                <w:rFonts w:ascii="Lato" w:hAnsi="Lato"/>
                <w:szCs w:val="22"/>
                <w:lang w:val="en-IE"/>
              </w:rPr>
              <w:t>to prospective unitholders</w:t>
            </w:r>
          </w:p>
        </w:tc>
        <w:tc>
          <w:tcPr>
            <w:tcW w:w="889" w:type="dxa"/>
            <w:gridSpan w:val="4"/>
            <w:tcBorders>
              <w:top w:val="single" w:sz="4" w:space="0" w:color="auto"/>
            </w:tcBorders>
          </w:tcPr>
          <w:p w:rsidR="008F6559" w:rsidRPr="001D39EA" w:rsidRDefault="008F6559">
            <w:pPr>
              <w:spacing w:line="240" w:lineRule="auto"/>
              <w:rPr>
                <w:rFonts w:ascii="Lato" w:hAnsi="Lato"/>
                <w:szCs w:val="22"/>
                <w:lang w:val="en-IE"/>
              </w:rPr>
            </w:pPr>
          </w:p>
        </w:tc>
      </w:tr>
      <w:tr w:rsidR="00791B15" w:rsidRPr="00DC0539" w:rsidTr="004517A9">
        <w:trPr>
          <w:gridAfter w:val="1"/>
          <w:wAfter w:w="105" w:type="dxa"/>
          <w:cantSplit/>
          <w:trHeight w:val="254"/>
        </w:trPr>
        <w:tc>
          <w:tcPr>
            <w:tcW w:w="925" w:type="dxa"/>
          </w:tcPr>
          <w:p w:rsidR="00120356" w:rsidRPr="001D39EA" w:rsidRDefault="00120356">
            <w:pPr>
              <w:spacing w:line="240" w:lineRule="auto"/>
              <w:rPr>
                <w:rFonts w:ascii="Lato" w:hAnsi="Lato"/>
                <w:szCs w:val="22"/>
                <w:lang w:val="en-IE"/>
              </w:rPr>
            </w:pPr>
          </w:p>
        </w:tc>
        <w:tc>
          <w:tcPr>
            <w:tcW w:w="9423" w:type="dxa"/>
            <w:gridSpan w:val="5"/>
          </w:tcPr>
          <w:p w:rsidR="00CF5782" w:rsidRPr="001D39EA" w:rsidDel="00382881" w:rsidRDefault="00CF5782" w:rsidP="008F6559">
            <w:pPr>
              <w:spacing w:line="240" w:lineRule="auto"/>
              <w:jc w:val="both"/>
              <w:rPr>
                <w:rFonts w:ascii="Lato" w:hAnsi="Lato"/>
                <w:szCs w:val="22"/>
                <w:lang w:val="en-IE"/>
              </w:rPr>
            </w:pPr>
          </w:p>
        </w:tc>
        <w:tc>
          <w:tcPr>
            <w:tcW w:w="889" w:type="dxa"/>
            <w:gridSpan w:val="4"/>
            <w:tcBorders>
              <w:bottom w:val="single" w:sz="4" w:space="0" w:color="auto"/>
            </w:tcBorders>
          </w:tcPr>
          <w:p w:rsidR="00120356" w:rsidRPr="001D39EA" w:rsidRDefault="00120356">
            <w:pPr>
              <w:spacing w:line="240" w:lineRule="auto"/>
              <w:rPr>
                <w:rFonts w:ascii="Lato" w:hAnsi="Lato"/>
                <w:szCs w:val="22"/>
                <w:lang w:val="en-IE"/>
              </w:rPr>
            </w:pPr>
          </w:p>
        </w:tc>
      </w:tr>
      <w:tr w:rsidR="008F6559" w:rsidRPr="00DC0539" w:rsidTr="004517A9">
        <w:trPr>
          <w:gridAfter w:val="1"/>
          <w:wAfter w:w="105" w:type="dxa"/>
          <w:cantSplit/>
          <w:trHeight w:val="254"/>
        </w:trPr>
        <w:tc>
          <w:tcPr>
            <w:tcW w:w="925" w:type="dxa"/>
          </w:tcPr>
          <w:p w:rsidR="008F6559" w:rsidRPr="001D39EA" w:rsidRDefault="008F6559" w:rsidP="004517A9">
            <w:pPr>
              <w:spacing w:line="240" w:lineRule="auto"/>
              <w:rPr>
                <w:rFonts w:ascii="Lato" w:hAnsi="Lato"/>
                <w:szCs w:val="22"/>
                <w:lang w:val="en-IE"/>
              </w:rPr>
            </w:pPr>
            <w:r w:rsidRPr="001D39EA">
              <w:rPr>
                <w:rFonts w:ascii="Lato" w:hAnsi="Lato"/>
                <w:szCs w:val="22"/>
                <w:lang w:val="en-IE"/>
              </w:rPr>
              <w:t>3.1.</w:t>
            </w:r>
            <w:r w:rsidR="004517A9" w:rsidRPr="001D39EA">
              <w:rPr>
                <w:rFonts w:ascii="Lato" w:hAnsi="Lato"/>
                <w:szCs w:val="22"/>
                <w:lang w:val="en-IE"/>
              </w:rPr>
              <w:t>5</w:t>
            </w:r>
          </w:p>
        </w:tc>
        <w:tc>
          <w:tcPr>
            <w:tcW w:w="9423" w:type="dxa"/>
            <w:gridSpan w:val="5"/>
            <w:tcBorders>
              <w:right w:val="single" w:sz="4" w:space="0" w:color="auto"/>
            </w:tcBorders>
          </w:tcPr>
          <w:p w:rsidR="008F6559" w:rsidRPr="001D39EA" w:rsidRDefault="008F6559">
            <w:pPr>
              <w:spacing w:line="240" w:lineRule="auto"/>
              <w:jc w:val="both"/>
              <w:rPr>
                <w:rFonts w:ascii="Lato" w:hAnsi="Lato"/>
                <w:szCs w:val="22"/>
                <w:lang w:val="en-IE"/>
              </w:rPr>
            </w:pPr>
            <w:r w:rsidRPr="001D39EA">
              <w:rPr>
                <w:rFonts w:ascii="Lato" w:hAnsi="Lato"/>
                <w:szCs w:val="22"/>
                <w:lang w:val="en-IE"/>
              </w:rPr>
              <w:t xml:space="preserve">Provide that the liability of the members of the ICAV shall be limited to the amount, if any, unpaid </w:t>
            </w:r>
          </w:p>
        </w:tc>
        <w:tc>
          <w:tcPr>
            <w:tcW w:w="889" w:type="dxa"/>
            <w:gridSpan w:val="4"/>
            <w:tcBorders>
              <w:top w:val="single" w:sz="4" w:space="0" w:color="auto"/>
              <w:left w:val="single" w:sz="4" w:space="0" w:color="auto"/>
              <w:bottom w:val="single" w:sz="4" w:space="0" w:color="auto"/>
              <w:right w:val="single" w:sz="4" w:space="0" w:color="auto"/>
            </w:tcBorders>
          </w:tcPr>
          <w:p w:rsidR="008F6559" w:rsidRPr="001D39EA" w:rsidRDefault="008F6559">
            <w:pPr>
              <w:spacing w:line="240" w:lineRule="auto"/>
              <w:rPr>
                <w:rFonts w:ascii="Lato" w:hAnsi="Lato"/>
                <w:szCs w:val="22"/>
                <w:lang w:val="en-IE"/>
              </w:rPr>
            </w:pPr>
          </w:p>
        </w:tc>
      </w:tr>
      <w:tr w:rsidR="008F6559" w:rsidRPr="00DC0539" w:rsidTr="004517A9">
        <w:trPr>
          <w:gridAfter w:val="1"/>
          <w:wAfter w:w="105" w:type="dxa"/>
          <w:cantSplit/>
          <w:trHeight w:val="254"/>
        </w:trPr>
        <w:tc>
          <w:tcPr>
            <w:tcW w:w="925" w:type="dxa"/>
          </w:tcPr>
          <w:p w:rsidR="00DD0B4C" w:rsidRPr="001D39EA" w:rsidRDefault="00DD0B4C" w:rsidP="004517A9">
            <w:pPr>
              <w:spacing w:line="240" w:lineRule="auto"/>
              <w:rPr>
                <w:rFonts w:ascii="Lato" w:hAnsi="Lato"/>
                <w:szCs w:val="22"/>
                <w:lang w:val="en-IE"/>
              </w:rPr>
            </w:pPr>
          </w:p>
        </w:tc>
        <w:tc>
          <w:tcPr>
            <w:tcW w:w="9423" w:type="dxa"/>
            <w:gridSpan w:val="5"/>
          </w:tcPr>
          <w:p w:rsidR="00DD0B4C" w:rsidRPr="001D39EA" w:rsidRDefault="0059751F" w:rsidP="00DD0B4C">
            <w:pPr>
              <w:spacing w:line="240" w:lineRule="auto"/>
              <w:jc w:val="both"/>
              <w:rPr>
                <w:rFonts w:ascii="Lato" w:hAnsi="Lato"/>
                <w:szCs w:val="22"/>
                <w:lang w:val="en-IE"/>
              </w:rPr>
            </w:pPr>
            <w:r w:rsidRPr="00F72ED7">
              <w:rPr>
                <w:rFonts w:ascii="Lato" w:hAnsi="Lato"/>
                <w:szCs w:val="22"/>
                <w:lang w:val="en-IE"/>
              </w:rPr>
              <w:t>on</w:t>
            </w:r>
            <w:r w:rsidRPr="00DC0539">
              <w:rPr>
                <w:rFonts w:ascii="Lato" w:hAnsi="Lato"/>
                <w:szCs w:val="22"/>
                <w:lang w:val="en-IE"/>
              </w:rPr>
              <w:t xml:space="preserve"> </w:t>
            </w:r>
            <w:r w:rsidR="008F6559" w:rsidRPr="001D39EA">
              <w:rPr>
                <w:rFonts w:ascii="Lato" w:hAnsi="Lato"/>
                <w:szCs w:val="22"/>
                <w:lang w:val="en-IE"/>
              </w:rPr>
              <w:t>the shares respectively held by them</w:t>
            </w:r>
          </w:p>
          <w:p w:rsidR="00DD0B4C" w:rsidRPr="001D39EA" w:rsidRDefault="00DD0B4C" w:rsidP="00C5549F">
            <w:pPr>
              <w:spacing w:line="240" w:lineRule="auto"/>
              <w:jc w:val="both"/>
              <w:rPr>
                <w:rFonts w:ascii="Lato" w:hAnsi="Lato"/>
                <w:szCs w:val="22"/>
                <w:lang w:val="en-IE"/>
              </w:rPr>
            </w:pPr>
          </w:p>
        </w:tc>
        <w:tc>
          <w:tcPr>
            <w:tcW w:w="889" w:type="dxa"/>
            <w:gridSpan w:val="4"/>
            <w:tcBorders>
              <w:top w:val="single" w:sz="4" w:space="0" w:color="auto"/>
              <w:bottom w:val="single" w:sz="4" w:space="0" w:color="auto"/>
            </w:tcBorders>
          </w:tcPr>
          <w:p w:rsidR="008F6559" w:rsidRPr="001D39EA" w:rsidRDefault="008F6559">
            <w:pPr>
              <w:spacing w:line="240" w:lineRule="auto"/>
              <w:rPr>
                <w:rFonts w:ascii="Lato" w:hAnsi="Lato"/>
                <w:szCs w:val="22"/>
                <w:lang w:val="en-IE"/>
              </w:rPr>
            </w:pPr>
          </w:p>
        </w:tc>
      </w:tr>
      <w:tr w:rsidR="004517A9" w:rsidRPr="00DC0539" w:rsidTr="004517A9">
        <w:trPr>
          <w:gridAfter w:val="1"/>
          <w:wAfter w:w="105" w:type="dxa"/>
          <w:cantSplit/>
          <w:trHeight w:val="254"/>
        </w:trPr>
        <w:tc>
          <w:tcPr>
            <w:tcW w:w="925" w:type="dxa"/>
          </w:tcPr>
          <w:p w:rsidR="004517A9" w:rsidRPr="001D39EA" w:rsidRDefault="004517A9" w:rsidP="004517A9">
            <w:pPr>
              <w:spacing w:line="240" w:lineRule="auto"/>
              <w:rPr>
                <w:rFonts w:ascii="Lato" w:hAnsi="Lato"/>
                <w:szCs w:val="22"/>
                <w:lang w:val="en-IE"/>
              </w:rPr>
            </w:pPr>
            <w:r w:rsidRPr="001D39EA">
              <w:rPr>
                <w:rFonts w:ascii="Lato" w:hAnsi="Lato"/>
                <w:szCs w:val="22"/>
                <w:lang w:val="en-IE"/>
              </w:rPr>
              <w:t>3.1.6</w:t>
            </w:r>
          </w:p>
        </w:tc>
        <w:tc>
          <w:tcPr>
            <w:tcW w:w="9423" w:type="dxa"/>
            <w:gridSpan w:val="5"/>
            <w:tcBorders>
              <w:right w:val="single" w:sz="4" w:space="0" w:color="auto"/>
            </w:tcBorders>
          </w:tcPr>
          <w:p w:rsidR="004517A9" w:rsidRPr="001D39EA" w:rsidRDefault="004517A9">
            <w:pPr>
              <w:spacing w:line="240" w:lineRule="auto"/>
              <w:jc w:val="both"/>
              <w:rPr>
                <w:rFonts w:ascii="Lato" w:hAnsi="Lato"/>
                <w:szCs w:val="22"/>
                <w:lang w:val="en-IE"/>
              </w:rPr>
            </w:pPr>
            <w:r w:rsidRPr="001D39EA">
              <w:rPr>
                <w:rFonts w:ascii="Lato" w:hAnsi="Lato"/>
                <w:szCs w:val="22"/>
                <w:lang w:val="en-IE"/>
              </w:rPr>
              <w:t xml:space="preserve">Provide that the assets of an ICAV shall belong exclusively to the ICAV and no shareholder has </w:t>
            </w:r>
          </w:p>
        </w:tc>
        <w:tc>
          <w:tcPr>
            <w:tcW w:w="889" w:type="dxa"/>
            <w:gridSpan w:val="4"/>
            <w:tcBorders>
              <w:top w:val="single" w:sz="4" w:space="0" w:color="auto"/>
              <w:left w:val="single" w:sz="4" w:space="0" w:color="auto"/>
              <w:bottom w:val="single" w:sz="4" w:space="0" w:color="auto"/>
              <w:right w:val="single" w:sz="4" w:space="0" w:color="auto"/>
            </w:tcBorders>
          </w:tcPr>
          <w:p w:rsidR="004517A9" w:rsidRPr="001D39EA" w:rsidRDefault="004517A9">
            <w:pPr>
              <w:spacing w:line="240" w:lineRule="auto"/>
              <w:rPr>
                <w:rFonts w:ascii="Lato" w:hAnsi="Lato"/>
                <w:szCs w:val="22"/>
                <w:lang w:val="en-IE"/>
              </w:rPr>
            </w:pPr>
          </w:p>
        </w:tc>
      </w:tr>
      <w:tr w:rsidR="004517A9" w:rsidRPr="00DC0539" w:rsidTr="004517A9">
        <w:trPr>
          <w:gridAfter w:val="1"/>
          <w:wAfter w:w="105" w:type="dxa"/>
          <w:cantSplit/>
          <w:trHeight w:val="254"/>
        </w:trPr>
        <w:tc>
          <w:tcPr>
            <w:tcW w:w="925" w:type="dxa"/>
          </w:tcPr>
          <w:p w:rsidR="004517A9" w:rsidRPr="001D39EA" w:rsidRDefault="004517A9">
            <w:pPr>
              <w:spacing w:line="240" w:lineRule="auto"/>
              <w:rPr>
                <w:rFonts w:ascii="Lato" w:hAnsi="Lato"/>
                <w:szCs w:val="22"/>
                <w:lang w:val="en-IE"/>
              </w:rPr>
            </w:pPr>
          </w:p>
        </w:tc>
        <w:tc>
          <w:tcPr>
            <w:tcW w:w="9423" w:type="dxa"/>
            <w:gridSpan w:val="5"/>
          </w:tcPr>
          <w:p w:rsidR="004517A9" w:rsidRPr="001D39EA" w:rsidRDefault="0059751F" w:rsidP="00C5549F">
            <w:pPr>
              <w:spacing w:line="240" w:lineRule="auto"/>
              <w:jc w:val="both"/>
              <w:rPr>
                <w:rFonts w:ascii="Lato" w:hAnsi="Lato"/>
                <w:szCs w:val="22"/>
                <w:lang w:val="en-IE"/>
              </w:rPr>
            </w:pPr>
            <w:r w:rsidRPr="00F72ED7">
              <w:rPr>
                <w:rFonts w:ascii="Lato" w:hAnsi="Lato"/>
                <w:szCs w:val="22"/>
                <w:lang w:val="en-IE"/>
              </w:rPr>
              <w:t>any</w:t>
            </w:r>
            <w:r w:rsidRPr="00DC0539">
              <w:rPr>
                <w:rFonts w:ascii="Lato" w:hAnsi="Lato"/>
                <w:szCs w:val="22"/>
                <w:lang w:val="en-IE"/>
              </w:rPr>
              <w:t xml:space="preserve"> </w:t>
            </w:r>
            <w:r w:rsidR="004517A9" w:rsidRPr="001D39EA">
              <w:rPr>
                <w:rFonts w:ascii="Lato" w:hAnsi="Lato"/>
                <w:szCs w:val="22"/>
                <w:lang w:val="en-IE"/>
              </w:rPr>
              <w:t>interest in the assets of the ICAV</w:t>
            </w:r>
          </w:p>
        </w:tc>
        <w:tc>
          <w:tcPr>
            <w:tcW w:w="889" w:type="dxa"/>
            <w:gridSpan w:val="4"/>
            <w:tcBorders>
              <w:top w:val="single" w:sz="4" w:space="0" w:color="auto"/>
            </w:tcBorders>
          </w:tcPr>
          <w:p w:rsidR="004517A9" w:rsidRPr="001D39EA" w:rsidRDefault="004517A9">
            <w:pPr>
              <w:spacing w:line="240" w:lineRule="auto"/>
              <w:rPr>
                <w:rFonts w:ascii="Lato" w:hAnsi="Lato"/>
                <w:szCs w:val="22"/>
                <w:lang w:val="en-IE"/>
              </w:rPr>
            </w:pPr>
          </w:p>
        </w:tc>
      </w:tr>
      <w:tr w:rsidR="00791B15" w:rsidRPr="00DC0539" w:rsidTr="0062628E">
        <w:trPr>
          <w:gridAfter w:val="1"/>
          <w:wAfter w:w="105" w:type="dxa"/>
        </w:trPr>
        <w:tc>
          <w:tcPr>
            <w:tcW w:w="925" w:type="dxa"/>
          </w:tcPr>
          <w:p w:rsidR="00F950B2" w:rsidRPr="001D39EA" w:rsidRDefault="00F950B2">
            <w:pPr>
              <w:spacing w:line="240" w:lineRule="auto"/>
              <w:rPr>
                <w:rFonts w:ascii="Lato" w:hAnsi="Lato"/>
                <w:szCs w:val="22"/>
                <w:lang w:val="en-IE"/>
              </w:rPr>
            </w:pPr>
          </w:p>
        </w:tc>
        <w:tc>
          <w:tcPr>
            <w:tcW w:w="9423" w:type="dxa"/>
            <w:gridSpan w:val="5"/>
            <w:tcBorders>
              <w:bottom w:val="single" w:sz="4" w:space="0" w:color="auto"/>
            </w:tcBorders>
          </w:tcPr>
          <w:p w:rsidR="00F950B2" w:rsidRPr="001D39EA" w:rsidRDefault="00F950B2">
            <w:pPr>
              <w:spacing w:line="240" w:lineRule="auto"/>
              <w:jc w:val="both"/>
              <w:rPr>
                <w:rFonts w:ascii="Lato" w:hAnsi="Lato"/>
                <w:szCs w:val="22"/>
                <w:lang w:val="en-IE"/>
              </w:rPr>
            </w:pPr>
          </w:p>
        </w:tc>
        <w:tc>
          <w:tcPr>
            <w:tcW w:w="889" w:type="dxa"/>
            <w:gridSpan w:val="4"/>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trPr>
        <w:tc>
          <w:tcPr>
            <w:tcW w:w="925" w:type="dxa"/>
            <w:tcBorders>
              <w:right w:val="single" w:sz="4" w:space="0" w:color="auto"/>
            </w:tcBorders>
          </w:tcPr>
          <w:p w:rsidR="00F950B2" w:rsidRPr="001D39EA" w:rsidRDefault="00F950B2">
            <w:pPr>
              <w:spacing w:line="240" w:lineRule="auto"/>
              <w:rPr>
                <w:rFonts w:ascii="Lato" w:hAnsi="Lato"/>
                <w:b/>
                <w:bCs/>
                <w:szCs w:val="22"/>
                <w:lang w:val="en-IE"/>
              </w:rPr>
            </w:pPr>
            <w:r w:rsidRPr="001D39EA">
              <w:rPr>
                <w:rFonts w:ascii="Lato" w:hAnsi="Lato"/>
                <w:b/>
                <w:bCs/>
                <w:szCs w:val="22"/>
                <w:lang w:val="en-IE"/>
              </w:rPr>
              <w:t>3.2</w:t>
            </w:r>
          </w:p>
        </w:tc>
        <w:tc>
          <w:tcPr>
            <w:tcW w:w="9423" w:type="dxa"/>
            <w:gridSpan w:val="5"/>
            <w:tcBorders>
              <w:top w:val="single" w:sz="4" w:space="0" w:color="auto"/>
              <w:left w:val="single" w:sz="4" w:space="0" w:color="auto"/>
              <w:bottom w:val="single" w:sz="4" w:space="0" w:color="auto"/>
              <w:right w:val="single" w:sz="4" w:space="0" w:color="auto"/>
            </w:tcBorders>
          </w:tcPr>
          <w:p w:rsidR="00F950B2" w:rsidRPr="001D39EA" w:rsidRDefault="00F950B2">
            <w:pPr>
              <w:pStyle w:val="Heading6"/>
              <w:jc w:val="both"/>
              <w:rPr>
                <w:rFonts w:ascii="Lato" w:hAnsi="Lato"/>
                <w:sz w:val="22"/>
                <w:szCs w:val="22"/>
                <w:lang w:val="en-IE"/>
              </w:rPr>
            </w:pPr>
            <w:r w:rsidRPr="001D39EA">
              <w:rPr>
                <w:rFonts w:ascii="Lato" w:hAnsi="Lato"/>
                <w:sz w:val="22"/>
                <w:szCs w:val="22"/>
                <w:lang w:val="en-IE"/>
              </w:rPr>
              <w:t>Share Capital</w:t>
            </w:r>
          </w:p>
        </w:tc>
        <w:tc>
          <w:tcPr>
            <w:tcW w:w="889" w:type="dxa"/>
            <w:gridSpan w:val="4"/>
            <w:tcBorders>
              <w:lef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trPr>
        <w:tc>
          <w:tcPr>
            <w:tcW w:w="925" w:type="dxa"/>
          </w:tcPr>
          <w:p w:rsidR="00F950B2" w:rsidRPr="001D39EA" w:rsidRDefault="00F950B2">
            <w:pPr>
              <w:spacing w:line="240" w:lineRule="auto"/>
              <w:rPr>
                <w:rFonts w:ascii="Lato" w:hAnsi="Lato"/>
                <w:szCs w:val="22"/>
                <w:lang w:val="en-IE"/>
              </w:rPr>
            </w:pPr>
          </w:p>
        </w:tc>
        <w:tc>
          <w:tcPr>
            <w:tcW w:w="9423" w:type="dxa"/>
            <w:gridSpan w:val="5"/>
            <w:tcBorders>
              <w:top w:val="single" w:sz="4" w:space="0" w:color="auto"/>
            </w:tcBorders>
          </w:tcPr>
          <w:p w:rsidR="00F950B2" w:rsidRPr="001D39EA" w:rsidRDefault="00F950B2">
            <w:pPr>
              <w:spacing w:line="240" w:lineRule="auto"/>
              <w:jc w:val="both"/>
              <w:rPr>
                <w:rFonts w:ascii="Lato" w:hAnsi="Lato"/>
                <w:szCs w:val="22"/>
                <w:lang w:val="en-IE"/>
              </w:rPr>
            </w:pPr>
          </w:p>
        </w:tc>
        <w:tc>
          <w:tcPr>
            <w:tcW w:w="889" w:type="dxa"/>
            <w:gridSpan w:val="4"/>
            <w:tcBorders>
              <w:bottom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trPr>
        <w:tc>
          <w:tcPr>
            <w:tcW w:w="925" w:type="dxa"/>
          </w:tcPr>
          <w:p w:rsidR="00F950B2" w:rsidRPr="001D39EA" w:rsidRDefault="00F950B2">
            <w:pPr>
              <w:spacing w:line="240" w:lineRule="auto"/>
              <w:rPr>
                <w:rFonts w:ascii="Lato" w:hAnsi="Lato"/>
                <w:szCs w:val="22"/>
                <w:lang w:val="en-IE"/>
              </w:rPr>
            </w:pPr>
            <w:r w:rsidRPr="001D39EA">
              <w:rPr>
                <w:rFonts w:ascii="Lato" w:hAnsi="Lato"/>
                <w:szCs w:val="22"/>
                <w:lang w:val="en-IE"/>
              </w:rPr>
              <w:t>3.2.1</w:t>
            </w:r>
          </w:p>
        </w:tc>
        <w:tc>
          <w:tcPr>
            <w:tcW w:w="9423" w:type="dxa"/>
            <w:gridSpan w:val="5"/>
            <w:tcBorders>
              <w:right w:val="single" w:sz="4" w:space="0" w:color="auto"/>
            </w:tcBorders>
          </w:tcPr>
          <w:p w:rsidR="00F950B2" w:rsidRPr="001D39EA" w:rsidRDefault="00F950B2">
            <w:pPr>
              <w:spacing w:line="240" w:lineRule="auto"/>
              <w:jc w:val="both"/>
              <w:rPr>
                <w:rFonts w:ascii="Lato" w:hAnsi="Lato"/>
                <w:szCs w:val="22"/>
                <w:lang w:val="en-IE"/>
              </w:rPr>
            </w:pPr>
            <w:r w:rsidRPr="001D39EA">
              <w:rPr>
                <w:rFonts w:ascii="Lato" w:hAnsi="Lato"/>
                <w:szCs w:val="22"/>
                <w:lang w:val="en-IE"/>
              </w:rPr>
              <w:t xml:space="preserve">Indicate the type of share </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trPr>
        <w:tc>
          <w:tcPr>
            <w:tcW w:w="925" w:type="dxa"/>
          </w:tcPr>
          <w:p w:rsidR="00F950B2" w:rsidRPr="001D39EA" w:rsidRDefault="00F950B2">
            <w:pPr>
              <w:spacing w:line="240" w:lineRule="auto"/>
              <w:rPr>
                <w:rFonts w:ascii="Lato" w:hAnsi="Lato"/>
                <w:szCs w:val="22"/>
                <w:lang w:val="en-IE"/>
              </w:rPr>
            </w:pPr>
          </w:p>
        </w:tc>
        <w:tc>
          <w:tcPr>
            <w:tcW w:w="9423" w:type="dxa"/>
            <w:gridSpan w:val="5"/>
          </w:tcPr>
          <w:p w:rsidR="00F950B2" w:rsidRPr="001D39EA"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trHeight w:val="245"/>
        </w:trPr>
        <w:tc>
          <w:tcPr>
            <w:tcW w:w="925" w:type="dxa"/>
          </w:tcPr>
          <w:p w:rsidR="00F950B2" w:rsidRPr="001D39EA" w:rsidRDefault="00F950B2">
            <w:pPr>
              <w:spacing w:line="240" w:lineRule="auto"/>
              <w:rPr>
                <w:rFonts w:ascii="Lato" w:hAnsi="Lato"/>
                <w:szCs w:val="22"/>
                <w:lang w:val="en-IE"/>
              </w:rPr>
            </w:pPr>
            <w:r w:rsidRPr="001D39EA">
              <w:rPr>
                <w:rFonts w:ascii="Lato" w:hAnsi="Lato"/>
                <w:szCs w:val="22"/>
                <w:lang w:val="en-IE"/>
              </w:rPr>
              <w:t>3.2.2</w:t>
            </w:r>
          </w:p>
        </w:tc>
        <w:tc>
          <w:tcPr>
            <w:tcW w:w="9423" w:type="dxa"/>
            <w:gridSpan w:val="5"/>
          </w:tcPr>
          <w:p w:rsidR="00F950B2" w:rsidRPr="001D39EA" w:rsidRDefault="00F950B2">
            <w:pPr>
              <w:spacing w:line="240" w:lineRule="auto"/>
              <w:ind w:left="511" w:hanging="511"/>
              <w:jc w:val="both"/>
              <w:rPr>
                <w:rFonts w:ascii="Lato" w:hAnsi="Lato"/>
                <w:szCs w:val="22"/>
                <w:lang w:val="en-IE"/>
              </w:rPr>
            </w:pPr>
            <w:r w:rsidRPr="001D39EA">
              <w:rPr>
                <w:rFonts w:ascii="Lato" w:hAnsi="Lato"/>
                <w:szCs w:val="22"/>
                <w:lang w:val="en-IE"/>
              </w:rPr>
              <w:t>Note:  - Bearer shares are not permitted</w:t>
            </w:r>
            <w:r w:rsidR="00000AF5" w:rsidRPr="001D39EA">
              <w:rPr>
                <w:rFonts w:ascii="Lato" w:hAnsi="Lato"/>
                <w:szCs w:val="22"/>
                <w:lang w:val="en-IE"/>
              </w:rPr>
              <w:t xml:space="preserve"> </w:t>
            </w:r>
          </w:p>
          <w:p w:rsidR="00F950B2" w:rsidRPr="001D39EA" w:rsidRDefault="00F950B2" w:rsidP="00872757">
            <w:pPr>
              <w:spacing w:line="240" w:lineRule="auto"/>
              <w:ind w:left="691" w:hanging="691"/>
              <w:jc w:val="both"/>
              <w:rPr>
                <w:rFonts w:ascii="Lato" w:hAnsi="Lato"/>
                <w:szCs w:val="22"/>
                <w:lang w:val="en-IE"/>
              </w:rPr>
            </w:pPr>
            <w:r w:rsidRPr="001D39EA">
              <w:rPr>
                <w:rFonts w:ascii="Lato" w:hAnsi="Lato"/>
                <w:szCs w:val="22"/>
                <w:lang w:val="en-IE"/>
              </w:rPr>
              <w:t xml:space="preserve">            - Shares in the </w:t>
            </w:r>
            <w:r w:rsidR="00872757" w:rsidRPr="001D39EA">
              <w:rPr>
                <w:rFonts w:ascii="Lato" w:hAnsi="Lato"/>
                <w:szCs w:val="22"/>
                <w:lang w:val="en-IE"/>
              </w:rPr>
              <w:t xml:space="preserve">ICAV </w:t>
            </w:r>
            <w:r w:rsidRPr="001D39EA">
              <w:rPr>
                <w:rFonts w:ascii="Lato" w:hAnsi="Lato"/>
                <w:szCs w:val="22"/>
                <w:lang w:val="en-IE"/>
              </w:rPr>
              <w:t>may not have a par value</w:t>
            </w:r>
          </w:p>
        </w:tc>
        <w:tc>
          <w:tcPr>
            <w:tcW w:w="889" w:type="dxa"/>
            <w:gridSpan w:val="4"/>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trPr>
        <w:tc>
          <w:tcPr>
            <w:tcW w:w="925" w:type="dxa"/>
          </w:tcPr>
          <w:p w:rsidR="00F950B2" w:rsidRPr="001D39EA" w:rsidRDefault="00F950B2">
            <w:pPr>
              <w:spacing w:line="240" w:lineRule="auto"/>
              <w:rPr>
                <w:rFonts w:ascii="Lato" w:hAnsi="Lato"/>
                <w:szCs w:val="22"/>
                <w:lang w:val="en-IE"/>
              </w:rPr>
            </w:pPr>
          </w:p>
        </w:tc>
        <w:tc>
          <w:tcPr>
            <w:tcW w:w="9423" w:type="dxa"/>
            <w:gridSpan w:val="5"/>
          </w:tcPr>
          <w:p w:rsidR="00F950B2" w:rsidRPr="001D39EA" w:rsidRDefault="00F950B2">
            <w:pPr>
              <w:spacing w:line="240" w:lineRule="auto"/>
              <w:jc w:val="both"/>
              <w:rPr>
                <w:rFonts w:ascii="Lato" w:hAnsi="Lato"/>
                <w:szCs w:val="22"/>
                <w:lang w:val="en-IE"/>
              </w:rPr>
            </w:pPr>
          </w:p>
        </w:tc>
        <w:tc>
          <w:tcPr>
            <w:tcW w:w="889" w:type="dxa"/>
            <w:gridSpan w:val="4"/>
            <w:tcBorders>
              <w:bottom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3"/>
        </w:trPr>
        <w:tc>
          <w:tcPr>
            <w:tcW w:w="925" w:type="dxa"/>
            <w:vMerge w:val="restart"/>
          </w:tcPr>
          <w:p w:rsidR="00F950B2" w:rsidRPr="001D39EA" w:rsidRDefault="00F950B2">
            <w:pPr>
              <w:spacing w:line="240" w:lineRule="auto"/>
              <w:rPr>
                <w:rFonts w:ascii="Lato" w:hAnsi="Lato"/>
                <w:szCs w:val="22"/>
                <w:lang w:val="en-IE"/>
              </w:rPr>
            </w:pPr>
            <w:r w:rsidRPr="001D39EA">
              <w:rPr>
                <w:rFonts w:ascii="Lato" w:hAnsi="Lato"/>
                <w:szCs w:val="22"/>
                <w:lang w:val="en-IE"/>
              </w:rPr>
              <w:t>3.2.3</w:t>
            </w:r>
          </w:p>
        </w:tc>
        <w:tc>
          <w:tcPr>
            <w:tcW w:w="9423" w:type="dxa"/>
            <w:gridSpan w:val="5"/>
            <w:vMerge w:val="restart"/>
            <w:tcBorders>
              <w:right w:val="single" w:sz="4" w:space="0" w:color="auto"/>
            </w:tcBorders>
          </w:tcPr>
          <w:p w:rsidR="00ED31FB" w:rsidRPr="001D39EA" w:rsidRDefault="00F950B2" w:rsidP="008F6559">
            <w:pPr>
              <w:spacing w:line="240" w:lineRule="auto"/>
              <w:jc w:val="both"/>
              <w:rPr>
                <w:rFonts w:ascii="Lato" w:hAnsi="Lato"/>
                <w:szCs w:val="22"/>
                <w:lang w:val="en-IE"/>
              </w:rPr>
            </w:pPr>
            <w:r w:rsidRPr="001D39EA">
              <w:rPr>
                <w:rFonts w:ascii="Lato" w:hAnsi="Lato"/>
                <w:szCs w:val="22"/>
                <w:lang w:val="en-IE"/>
              </w:rPr>
              <w:t xml:space="preserve">Provide that the </w:t>
            </w:r>
            <w:r w:rsidR="00ED31FB" w:rsidRPr="001D39EA">
              <w:rPr>
                <w:rFonts w:ascii="Lato" w:hAnsi="Lato"/>
                <w:szCs w:val="22"/>
                <w:lang w:val="en-IE"/>
              </w:rPr>
              <w:t>actual value of paid-up</w:t>
            </w:r>
            <w:r w:rsidRPr="001D39EA">
              <w:rPr>
                <w:rFonts w:ascii="Lato" w:hAnsi="Lato"/>
                <w:szCs w:val="22"/>
                <w:lang w:val="en-IE"/>
              </w:rPr>
              <w:t xml:space="preserve"> share capital of the</w:t>
            </w:r>
            <w:r w:rsidR="00ED31FB" w:rsidRPr="001D39EA">
              <w:rPr>
                <w:rFonts w:ascii="Lato" w:hAnsi="Lato"/>
                <w:szCs w:val="22"/>
                <w:lang w:val="en-IE"/>
              </w:rPr>
              <w:t xml:space="preserve"> ICAV </w:t>
            </w:r>
            <w:r w:rsidRPr="001D39EA">
              <w:rPr>
                <w:rFonts w:ascii="Lato" w:hAnsi="Lato"/>
                <w:szCs w:val="22"/>
                <w:lang w:val="en-IE"/>
              </w:rPr>
              <w:t xml:space="preserve">shall at all times be equal to the value of the </w:t>
            </w:r>
            <w:r w:rsidR="00562AA0" w:rsidRPr="001D39EA">
              <w:rPr>
                <w:rFonts w:ascii="Lato" w:hAnsi="Lato"/>
                <w:szCs w:val="22"/>
                <w:lang w:val="en-IE"/>
              </w:rPr>
              <w:t xml:space="preserve">assets of the </w:t>
            </w:r>
            <w:r w:rsidR="00ED31FB" w:rsidRPr="001D39EA">
              <w:rPr>
                <w:rFonts w:ascii="Lato" w:hAnsi="Lato"/>
                <w:szCs w:val="22"/>
                <w:lang w:val="en-IE"/>
              </w:rPr>
              <w:t xml:space="preserve">ICAV after deduction of its liabilities </w:t>
            </w:r>
            <w:r w:rsidRPr="001D39EA">
              <w:rPr>
                <w:rFonts w:ascii="Lato" w:hAnsi="Lato"/>
                <w:bCs/>
                <w:iCs/>
                <w:szCs w:val="22"/>
                <w:lang w:val="en-IE"/>
              </w:rPr>
              <w:t>(Ensure that the wording refers to the</w:t>
            </w:r>
            <w:r w:rsidR="00ED31FB" w:rsidRPr="001D39EA">
              <w:rPr>
                <w:rFonts w:ascii="Lato" w:hAnsi="Lato"/>
                <w:bCs/>
                <w:iCs/>
                <w:szCs w:val="22"/>
                <w:lang w:val="en-IE"/>
              </w:rPr>
              <w:t xml:space="preserve"> ICAV</w:t>
            </w:r>
            <w:r w:rsidRPr="001D39EA">
              <w:rPr>
                <w:rFonts w:ascii="Lato" w:hAnsi="Lato"/>
                <w:bCs/>
                <w:iCs/>
                <w:szCs w:val="22"/>
                <w:lang w:val="en-IE"/>
              </w:rPr>
              <w:t xml:space="preserve"> and not to sub-funds/classes</w:t>
            </w:r>
            <w:r w:rsidRPr="001D39EA">
              <w:rPr>
                <w:rFonts w:ascii="Lato" w:hAnsi="Lato"/>
                <w:b/>
                <w:bCs/>
                <w:i/>
                <w:iCs/>
                <w:szCs w:val="22"/>
                <w:lang w:val="en-IE"/>
              </w:rPr>
              <w:t>)</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vMerge/>
          </w:tcPr>
          <w:p w:rsidR="00F950B2" w:rsidRPr="001D39EA" w:rsidRDefault="00F950B2">
            <w:pPr>
              <w:spacing w:line="240" w:lineRule="auto"/>
              <w:rPr>
                <w:rFonts w:ascii="Lato" w:hAnsi="Lato"/>
                <w:szCs w:val="22"/>
                <w:lang w:val="en-IE"/>
              </w:rPr>
            </w:pPr>
          </w:p>
        </w:tc>
        <w:tc>
          <w:tcPr>
            <w:tcW w:w="9423" w:type="dxa"/>
            <w:gridSpan w:val="5"/>
            <w:vMerge/>
          </w:tcPr>
          <w:p w:rsidR="00F950B2" w:rsidRPr="001D39EA"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vMerge/>
          </w:tcPr>
          <w:p w:rsidR="00F950B2" w:rsidRPr="001D39EA" w:rsidRDefault="00F950B2">
            <w:pPr>
              <w:spacing w:line="240" w:lineRule="auto"/>
              <w:rPr>
                <w:rFonts w:ascii="Lato" w:hAnsi="Lato"/>
                <w:szCs w:val="22"/>
                <w:lang w:val="en-IE"/>
              </w:rPr>
            </w:pPr>
          </w:p>
        </w:tc>
        <w:tc>
          <w:tcPr>
            <w:tcW w:w="9423" w:type="dxa"/>
            <w:gridSpan w:val="5"/>
            <w:vMerge/>
          </w:tcPr>
          <w:p w:rsidR="00F950B2" w:rsidRPr="001D39EA" w:rsidRDefault="00F950B2">
            <w:pPr>
              <w:spacing w:line="240" w:lineRule="auto"/>
              <w:jc w:val="both"/>
              <w:rPr>
                <w:rFonts w:ascii="Lato" w:hAnsi="Lato"/>
                <w:szCs w:val="22"/>
                <w:lang w:val="en-IE"/>
              </w:rPr>
            </w:pPr>
          </w:p>
        </w:tc>
        <w:tc>
          <w:tcPr>
            <w:tcW w:w="889" w:type="dxa"/>
            <w:gridSpan w:val="4"/>
          </w:tcPr>
          <w:p w:rsidR="00F950B2" w:rsidRPr="001D39EA" w:rsidRDefault="00F950B2">
            <w:pPr>
              <w:spacing w:line="240" w:lineRule="auto"/>
              <w:rPr>
                <w:rFonts w:ascii="Lato" w:hAnsi="Lato"/>
                <w:szCs w:val="22"/>
                <w:lang w:val="en-IE"/>
              </w:rPr>
            </w:pPr>
          </w:p>
        </w:tc>
      </w:tr>
      <w:tr w:rsidR="008F6559" w:rsidRPr="00DC0539" w:rsidTr="004517A9">
        <w:trPr>
          <w:gridAfter w:val="1"/>
          <w:wAfter w:w="105" w:type="dxa"/>
          <w:cantSplit/>
          <w:trHeight w:val="251"/>
        </w:trPr>
        <w:tc>
          <w:tcPr>
            <w:tcW w:w="925" w:type="dxa"/>
          </w:tcPr>
          <w:p w:rsidR="008F6559" w:rsidRPr="001D39EA" w:rsidRDefault="008F6559">
            <w:pPr>
              <w:spacing w:line="240" w:lineRule="auto"/>
              <w:rPr>
                <w:rFonts w:ascii="Lato" w:hAnsi="Lato"/>
                <w:szCs w:val="22"/>
                <w:lang w:val="en-IE"/>
              </w:rPr>
            </w:pPr>
          </w:p>
        </w:tc>
        <w:tc>
          <w:tcPr>
            <w:tcW w:w="9423" w:type="dxa"/>
            <w:gridSpan w:val="5"/>
          </w:tcPr>
          <w:p w:rsidR="008F6559" w:rsidRPr="001D39EA" w:rsidRDefault="008F6559">
            <w:pPr>
              <w:spacing w:line="240" w:lineRule="auto"/>
              <w:jc w:val="both"/>
              <w:rPr>
                <w:rFonts w:ascii="Lato" w:hAnsi="Lato"/>
                <w:szCs w:val="22"/>
                <w:lang w:val="en-IE"/>
              </w:rPr>
            </w:pPr>
          </w:p>
        </w:tc>
        <w:tc>
          <w:tcPr>
            <w:tcW w:w="889" w:type="dxa"/>
            <w:gridSpan w:val="4"/>
            <w:tcBorders>
              <w:bottom w:val="single" w:sz="4" w:space="0" w:color="auto"/>
            </w:tcBorders>
          </w:tcPr>
          <w:p w:rsidR="008F6559" w:rsidRPr="001D39EA" w:rsidRDefault="008F6559">
            <w:pPr>
              <w:spacing w:line="240" w:lineRule="auto"/>
              <w:rPr>
                <w:rFonts w:ascii="Lato" w:hAnsi="Lato"/>
                <w:szCs w:val="22"/>
                <w:lang w:val="en-IE"/>
              </w:rPr>
            </w:pPr>
          </w:p>
        </w:tc>
      </w:tr>
      <w:tr w:rsidR="008F6559" w:rsidRPr="00DC0539" w:rsidTr="004517A9">
        <w:trPr>
          <w:gridAfter w:val="1"/>
          <w:wAfter w:w="105" w:type="dxa"/>
          <w:cantSplit/>
          <w:trHeight w:val="251"/>
        </w:trPr>
        <w:tc>
          <w:tcPr>
            <w:tcW w:w="925" w:type="dxa"/>
          </w:tcPr>
          <w:p w:rsidR="008F6559" w:rsidRPr="001D39EA" w:rsidRDefault="004517A9">
            <w:pPr>
              <w:spacing w:line="240" w:lineRule="auto"/>
              <w:rPr>
                <w:rFonts w:ascii="Lato" w:hAnsi="Lato"/>
                <w:szCs w:val="22"/>
                <w:lang w:val="en-IE"/>
              </w:rPr>
            </w:pPr>
            <w:r w:rsidRPr="001D39EA">
              <w:rPr>
                <w:rFonts w:ascii="Lato" w:hAnsi="Lato"/>
                <w:szCs w:val="22"/>
                <w:lang w:val="en-IE"/>
              </w:rPr>
              <w:t>3.2.4</w:t>
            </w:r>
          </w:p>
        </w:tc>
        <w:tc>
          <w:tcPr>
            <w:tcW w:w="9423" w:type="dxa"/>
            <w:gridSpan w:val="5"/>
            <w:tcBorders>
              <w:right w:val="single" w:sz="4" w:space="0" w:color="auto"/>
            </w:tcBorders>
          </w:tcPr>
          <w:p w:rsidR="008F6559" w:rsidRPr="001D39EA" w:rsidRDefault="008F6559">
            <w:pPr>
              <w:spacing w:line="240" w:lineRule="auto"/>
              <w:jc w:val="both"/>
              <w:rPr>
                <w:rFonts w:ascii="Lato" w:hAnsi="Lato"/>
                <w:szCs w:val="22"/>
                <w:lang w:val="en-IE"/>
              </w:rPr>
            </w:pPr>
            <w:r w:rsidRPr="001D39EA">
              <w:rPr>
                <w:rFonts w:ascii="Lato" w:hAnsi="Lato"/>
                <w:bCs/>
                <w:iCs/>
                <w:szCs w:val="22"/>
                <w:lang w:val="en-IE"/>
              </w:rPr>
              <w:t>The share capital of the ICAV shall at all times be equal to the value for the time being of the</w:t>
            </w:r>
          </w:p>
        </w:tc>
        <w:tc>
          <w:tcPr>
            <w:tcW w:w="889" w:type="dxa"/>
            <w:gridSpan w:val="4"/>
            <w:tcBorders>
              <w:top w:val="single" w:sz="4" w:space="0" w:color="auto"/>
              <w:left w:val="single" w:sz="4" w:space="0" w:color="auto"/>
              <w:bottom w:val="single" w:sz="4" w:space="0" w:color="auto"/>
              <w:right w:val="single" w:sz="4" w:space="0" w:color="auto"/>
            </w:tcBorders>
          </w:tcPr>
          <w:p w:rsidR="008F6559" w:rsidRPr="001D39EA" w:rsidRDefault="008F6559">
            <w:pPr>
              <w:spacing w:line="240" w:lineRule="auto"/>
              <w:rPr>
                <w:rFonts w:ascii="Lato" w:hAnsi="Lato"/>
                <w:szCs w:val="22"/>
                <w:lang w:val="en-IE"/>
              </w:rPr>
            </w:pPr>
          </w:p>
        </w:tc>
      </w:tr>
      <w:tr w:rsidR="008F6559" w:rsidRPr="00DC0539" w:rsidTr="004517A9">
        <w:trPr>
          <w:gridAfter w:val="1"/>
          <w:wAfter w:w="105" w:type="dxa"/>
          <w:cantSplit/>
          <w:trHeight w:val="251"/>
        </w:trPr>
        <w:tc>
          <w:tcPr>
            <w:tcW w:w="925" w:type="dxa"/>
          </w:tcPr>
          <w:p w:rsidR="008F6559" w:rsidRPr="001D39EA" w:rsidRDefault="008F6559">
            <w:pPr>
              <w:spacing w:line="240" w:lineRule="auto"/>
              <w:rPr>
                <w:rFonts w:ascii="Lato" w:hAnsi="Lato"/>
                <w:szCs w:val="22"/>
                <w:lang w:val="en-IE"/>
              </w:rPr>
            </w:pPr>
          </w:p>
        </w:tc>
        <w:tc>
          <w:tcPr>
            <w:tcW w:w="9423" w:type="dxa"/>
            <w:gridSpan w:val="5"/>
          </w:tcPr>
          <w:p w:rsidR="008F6559" w:rsidRPr="001D39EA" w:rsidRDefault="008F6559">
            <w:pPr>
              <w:spacing w:line="240" w:lineRule="auto"/>
              <w:jc w:val="both"/>
              <w:rPr>
                <w:rFonts w:ascii="Lato" w:hAnsi="Lato"/>
                <w:szCs w:val="22"/>
                <w:lang w:val="en-IE"/>
              </w:rPr>
            </w:pPr>
            <w:r w:rsidRPr="001D39EA">
              <w:rPr>
                <w:rFonts w:ascii="Lato" w:hAnsi="Lato"/>
                <w:bCs/>
                <w:iCs/>
                <w:szCs w:val="22"/>
                <w:lang w:val="en-IE"/>
              </w:rPr>
              <w:t>issued share capital of the ICAV</w:t>
            </w:r>
          </w:p>
        </w:tc>
        <w:tc>
          <w:tcPr>
            <w:tcW w:w="889" w:type="dxa"/>
            <w:gridSpan w:val="4"/>
            <w:tcBorders>
              <w:top w:val="single" w:sz="4" w:space="0" w:color="auto"/>
            </w:tcBorders>
          </w:tcPr>
          <w:p w:rsidR="008F6559" w:rsidRPr="001D39EA" w:rsidRDefault="008F6559">
            <w:pPr>
              <w:spacing w:line="240" w:lineRule="auto"/>
              <w:rPr>
                <w:rFonts w:ascii="Lato" w:hAnsi="Lato"/>
                <w:szCs w:val="22"/>
                <w:lang w:val="en-IE"/>
              </w:rPr>
            </w:pPr>
          </w:p>
        </w:tc>
      </w:tr>
      <w:tr w:rsidR="008F6559" w:rsidRPr="00DC0539" w:rsidTr="004517A9">
        <w:trPr>
          <w:gridAfter w:val="1"/>
          <w:wAfter w:w="105" w:type="dxa"/>
          <w:cantSplit/>
          <w:trHeight w:val="251"/>
        </w:trPr>
        <w:tc>
          <w:tcPr>
            <w:tcW w:w="925" w:type="dxa"/>
          </w:tcPr>
          <w:p w:rsidR="008F6559" w:rsidRPr="001D39EA" w:rsidRDefault="008F6559">
            <w:pPr>
              <w:spacing w:line="240" w:lineRule="auto"/>
              <w:rPr>
                <w:rFonts w:ascii="Lato" w:hAnsi="Lato"/>
                <w:szCs w:val="22"/>
                <w:lang w:val="en-IE"/>
              </w:rPr>
            </w:pPr>
          </w:p>
        </w:tc>
        <w:tc>
          <w:tcPr>
            <w:tcW w:w="9423" w:type="dxa"/>
            <w:gridSpan w:val="5"/>
          </w:tcPr>
          <w:p w:rsidR="008F6559" w:rsidRPr="001D39EA" w:rsidRDefault="008F6559">
            <w:pPr>
              <w:spacing w:line="240" w:lineRule="auto"/>
              <w:jc w:val="both"/>
              <w:rPr>
                <w:rFonts w:ascii="Lato" w:hAnsi="Lato"/>
                <w:szCs w:val="22"/>
                <w:lang w:val="en-IE"/>
              </w:rPr>
            </w:pPr>
          </w:p>
        </w:tc>
        <w:tc>
          <w:tcPr>
            <w:tcW w:w="889" w:type="dxa"/>
            <w:gridSpan w:val="4"/>
            <w:tcBorders>
              <w:bottom w:val="single" w:sz="4" w:space="0" w:color="auto"/>
            </w:tcBorders>
          </w:tcPr>
          <w:p w:rsidR="008F6559" w:rsidRPr="001D39EA" w:rsidRDefault="008F6559">
            <w:pPr>
              <w:spacing w:line="240" w:lineRule="auto"/>
              <w:rPr>
                <w:rFonts w:ascii="Lato" w:hAnsi="Lato"/>
                <w:szCs w:val="22"/>
                <w:lang w:val="en-IE"/>
              </w:rPr>
            </w:pPr>
          </w:p>
        </w:tc>
      </w:tr>
      <w:tr w:rsidR="008F6559" w:rsidRPr="00DC0539" w:rsidTr="004517A9">
        <w:trPr>
          <w:gridAfter w:val="1"/>
          <w:wAfter w:w="105" w:type="dxa"/>
          <w:cantSplit/>
          <w:trHeight w:val="251"/>
        </w:trPr>
        <w:tc>
          <w:tcPr>
            <w:tcW w:w="925" w:type="dxa"/>
          </w:tcPr>
          <w:p w:rsidR="008F6559" w:rsidRPr="001D39EA" w:rsidRDefault="004517A9">
            <w:pPr>
              <w:spacing w:line="240" w:lineRule="auto"/>
              <w:rPr>
                <w:rFonts w:ascii="Lato" w:hAnsi="Lato"/>
                <w:szCs w:val="22"/>
                <w:lang w:val="en-IE"/>
              </w:rPr>
            </w:pPr>
            <w:r w:rsidRPr="001D39EA">
              <w:rPr>
                <w:rFonts w:ascii="Lato" w:hAnsi="Lato"/>
                <w:szCs w:val="22"/>
                <w:lang w:val="en-IE"/>
              </w:rPr>
              <w:t>3.2.5</w:t>
            </w:r>
          </w:p>
        </w:tc>
        <w:tc>
          <w:tcPr>
            <w:tcW w:w="9423" w:type="dxa"/>
            <w:gridSpan w:val="5"/>
            <w:tcBorders>
              <w:right w:val="single" w:sz="4" w:space="0" w:color="auto"/>
            </w:tcBorders>
          </w:tcPr>
          <w:p w:rsidR="008F6559" w:rsidRPr="001D39EA" w:rsidRDefault="008F6559">
            <w:pPr>
              <w:spacing w:line="240" w:lineRule="auto"/>
              <w:jc w:val="both"/>
              <w:rPr>
                <w:rFonts w:ascii="Lato" w:hAnsi="Lato"/>
                <w:szCs w:val="22"/>
                <w:lang w:val="en-IE"/>
              </w:rPr>
            </w:pPr>
            <w:r w:rsidRPr="001D39EA">
              <w:rPr>
                <w:rFonts w:ascii="Lato" w:hAnsi="Lato"/>
                <w:szCs w:val="22"/>
                <w:lang w:val="en-IE"/>
              </w:rPr>
              <w:t xml:space="preserve">Share capital is to be divided into a specified number of shares without assigning any nominal </w:t>
            </w:r>
          </w:p>
        </w:tc>
        <w:tc>
          <w:tcPr>
            <w:tcW w:w="889" w:type="dxa"/>
            <w:gridSpan w:val="4"/>
            <w:tcBorders>
              <w:top w:val="single" w:sz="4" w:space="0" w:color="auto"/>
              <w:left w:val="single" w:sz="4" w:space="0" w:color="auto"/>
              <w:bottom w:val="single" w:sz="4" w:space="0" w:color="auto"/>
              <w:right w:val="single" w:sz="4" w:space="0" w:color="auto"/>
            </w:tcBorders>
          </w:tcPr>
          <w:p w:rsidR="008F6559" w:rsidRPr="001D39EA" w:rsidRDefault="008F6559">
            <w:pPr>
              <w:spacing w:line="240" w:lineRule="auto"/>
              <w:rPr>
                <w:rFonts w:ascii="Lato" w:hAnsi="Lato"/>
                <w:szCs w:val="22"/>
                <w:lang w:val="en-IE"/>
              </w:rPr>
            </w:pPr>
          </w:p>
        </w:tc>
      </w:tr>
      <w:tr w:rsidR="008F6559" w:rsidRPr="00DC0539" w:rsidTr="004517A9">
        <w:trPr>
          <w:gridAfter w:val="1"/>
          <w:wAfter w:w="105" w:type="dxa"/>
          <w:cantSplit/>
          <w:trHeight w:val="251"/>
        </w:trPr>
        <w:tc>
          <w:tcPr>
            <w:tcW w:w="925" w:type="dxa"/>
          </w:tcPr>
          <w:p w:rsidR="008F6559" w:rsidRPr="001D39EA" w:rsidRDefault="008F6559">
            <w:pPr>
              <w:spacing w:line="240" w:lineRule="auto"/>
              <w:rPr>
                <w:rFonts w:ascii="Lato" w:hAnsi="Lato"/>
                <w:szCs w:val="22"/>
                <w:lang w:val="en-IE"/>
              </w:rPr>
            </w:pPr>
          </w:p>
        </w:tc>
        <w:tc>
          <w:tcPr>
            <w:tcW w:w="9423" w:type="dxa"/>
            <w:gridSpan w:val="5"/>
          </w:tcPr>
          <w:p w:rsidR="008F6559" w:rsidRPr="001D39EA" w:rsidRDefault="0059751F">
            <w:pPr>
              <w:spacing w:line="240" w:lineRule="auto"/>
              <w:jc w:val="both"/>
              <w:rPr>
                <w:rFonts w:ascii="Lato" w:hAnsi="Lato"/>
                <w:szCs w:val="22"/>
                <w:lang w:val="en-IE"/>
              </w:rPr>
            </w:pPr>
            <w:r w:rsidRPr="00F72ED7">
              <w:rPr>
                <w:rFonts w:ascii="Lato" w:hAnsi="Lato"/>
                <w:szCs w:val="22"/>
                <w:lang w:val="en-IE"/>
              </w:rPr>
              <w:t>value</w:t>
            </w:r>
            <w:r w:rsidRPr="00DC0539">
              <w:rPr>
                <w:rFonts w:ascii="Lato" w:hAnsi="Lato"/>
                <w:szCs w:val="22"/>
                <w:lang w:val="en-IE"/>
              </w:rPr>
              <w:t xml:space="preserve"> </w:t>
            </w:r>
            <w:r w:rsidR="008F6559" w:rsidRPr="001D39EA">
              <w:rPr>
                <w:rFonts w:ascii="Lato" w:hAnsi="Lato"/>
                <w:szCs w:val="22"/>
                <w:lang w:val="en-IE"/>
              </w:rPr>
              <w:t>to them.</w:t>
            </w:r>
          </w:p>
        </w:tc>
        <w:tc>
          <w:tcPr>
            <w:tcW w:w="889" w:type="dxa"/>
            <w:gridSpan w:val="4"/>
            <w:tcBorders>
              <w:top w:val="single" w:sz="4" w:space="0" w:color="auto"/>
            </w:tcBorders>
          </w:tcPr>
          <w:p w:rsidR="008F6559" w:rsidRPr="001D39EA" w:rsidRDefault="008F6559">
            <w:pPr>
              <w:spacing w:line="240" w:lineRule="auto"/>
              <w:rPr>
                <w:rFonts w:ascii="Lato" w:hAnsi="Lato"/>
                <w:szCs w:val="22"/>
                <w:lang w:val="en-IE"/>
              </w:rPr>
            </w:pPr>
          </w:p>
        </w:tc>
      </w:tr>
      <w:tr w:rsidR="008F6559" w:rsidRPr="00DC0539" w:rsidTr="0062628E">
        <w:trPr>
          <w:gridAfter w:val="1"/>
          <w:wAfter w:w="105" w:type="dxa"/>
          <w:cantSplit/>
          <w:trHeight w:val="251"/>
        </w:trPr>
        <w:tc>
          <w:tcPr>
            <w:tcW w:w="925" w:type="dxa"/>
          </w:tcPr>
          <w:p w:rsidR="008F6559" w:rsidRPr="001D39EA" w:rsidRDefault="008F6559">
            <w:pPr>
              <w:spacing w:line="240" w:lineRule="auto"/>
              <w:rPr>
                <w:rFonts w:ascii="Lato" w:hAnsi="Lato"/>
                <w:szCs w:val="22"/>
                <w:lang w:val="en-IE"/>
              </w:rPr>
            </w:pPr>
          </w:p>
        </w:tc>
        <w:tc>
          <w:tcPr>
            <w:tcW w:w="9423" w:type="dxa"/>
            <w:gridSpan w:val="5"/>
          </w:tcPr>
          <w:p w:rsidR="008F6559" w:rsidRPr="001D39EA" w:rsidRDefault="008F6559">
            <w:pPr>
              <w:spacing w:line="240" w:lineRule="auto"/>
              <w:jc w:val="both"/>
              <w:rPr>
                <w:rFonts w:ascii="Lato" w:hAnsi="Lato"/>
                <w:szCs w:val="22"/>
                <w:lang w:val="en-IE"/>
              </w:rPr>
            </w:pPr>
          </w:p>
        </w:tc>
        <w:tc>
          <w:tcPr>
            <w:tcW w:w="889" w:type="dxa"/>
            <w:gridSpan w:val="4"/>
          </w:tcPr>
          <w:p w:rsidR="008F6559" w:rsidRPr="001D39EA" w:rsidRDefault="008F6559">
            <w:pPr>
              <w:spacing w:line="240" w:lineRule="auto"/>
              <w:rPr>
                <w:rFonts w:ascii="Lato" w:hAnsi="Lato"/>
                <w:szCs w:val="22"/>
                <w:lang w:val="en-IE"/>
              </w:rPr>
            </w:pPr>
          </w:p>
        </w:tc>
      </w:tr>
      <w:tr w:rsidR="00791B15" w:rsidRPr="00DC0539" w:rsidTr="0062628E">
        <w:trPr>
          <w:gridAfter w:val="1"/>
          <w:wAfter w:w="105" w:type="dxa"/>
        </w:trPr>
        <w:tc>
          <w:tcPr>
            <w:tcW w:w="925" w:type="dxa"/>
            <w:tcBorders>
              <w:right w:val="single" w:sz="4" w:space="0" w:color="auto"/>
            </w:tcBorders>
          </w:tcPr>
          <w:p w:rsidR="00F950B2" w:rsidRPr="001D39EA" w:rsidRDefault="00F950B2">
            <w:pPr>
              <w:spacing w:line="240" w:lineRule="auto"/>
              <w:rPr>
                <w:rFonts w:ascii="Lato" w:hAnsi="Lato"/>
                <w:b/>
                <w:bCs/>
                <w:szCs w:val="22"/>
                <w:lang w:val="en-IE"/>
              </w:rPr>
            </w:pPr>
            <w:r w:rsidRPr="001D39EA">
              <w:rPr>
                <w:rFonts w:ascii="Lato" w:hAnsi="Lato"/>
                <w:b/>
                <w:bCs/>
                <w:szCs w:val="22"/>
                <w:lang w:val="en-IE"/>
              </w:rPr>
              <w:t>3.3</w:t>
            </w:r>
          </w:p>
        </w:tc>
        <w:tc>
          <w:tcPr>
            <w:tcW w:w="9423" w:type="dxa"/>
            <w:gridSpan w:val="5"/>
            <w:tcBorders>
              <w:top w:val="single" w:sz="4" w:space="0" w:color="auto"/>
              <w:left w:val="single" w:sz="4" w:space="0" w:color="auto"/>
              <w:bottom w:val="single" w:sz="4" w:space="0" w:color="auto"/>
              <w:right w:val="single" w:sz="4" w:space="0" w:color="auto"/>
            </w:tcBorders>
          </w:tcPr>
          <w:p w:rsidR="00F950B2" w:rsidRPr="001D39EA" w:rsidRDefault="00F950B2">
            <w:pPr>
              <w:pStyle w:val="Heading6"/>
              <w:jc w:val="both"/>
              <w:rPr>
                <w:rFonts w:ascii="Lato" w:hAnsi="Lato"/>
                <w:sz w:val="22"/>
                <w:szCs w:val="22"/>
                <w:lang w:val="en-IE"/>
              </w:rPr>
            </w:pPr>
            <w:r w:rsidRPr="001D39EA">
              <w:rPr>
                <w:rFonts w:ascii="Lato" w:hAnsi="Lato"/>
                <w:sz w:val="22"/>
                <w:szCs w:val="22"/>
                <w:lang w:val="en-IE"/>
              </w:rPr>
              <w:t>Issue / Allotment of Participating Shares</w:t>
            </w:r>
          </w:p>
        </w:tc>
        <w:tc>
          <w:tcPr>
            <w:tcW w:w="889" w:type="dxa"/>
            <w:gridSpan w:val="4"/>
            <w:tcBorders>
              <w:lef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3"/>
        </w:trPr>
        <w:tc>
          <w:tcPr>
            <w:tcW w:w="925" w:type="dxa"/>
            <w:vMerge w:val="restart"/>
          </w:tcPr>
          <w:p w:rsidR="00F950B2" w:rsidRPr="001D39EA" w:rsidRDefault="00F950B2">
            <w:pPr>
              <w:spacing w:line="240" w:lineRule="auto"/>
              <w:rPr>
                <w:rFonts w:ascii="Lato" w:hAnsi="Lato"/>
                <w:szCs w:val="22"/>
                <w:lang w:val="en-IE"/>
              </w:rPr>
            </w:pPr>
            <w:r w:rsidRPr="001D39EA">
              <w:rPr>
                <w:rFonts w:ascii="Lato" w:hAnsi="Lato"/>
                <w:szCs w:val="22"/>
                <w:lang w:val="en-IE"/>
              </w:rPr>
              <w:t>3.3.1</w:t>
            </w:r>
          </w:p>
        </w:tc>
        <w:tc>
          <w:tcPr>
            <w:tcW w:w="9423" w:type="dxa"/>
            <w:gridSpan w:val="5"/>
            <w:vMerge w:val="restart"/>
            <w:tcBorders>
              <w:right w:val="single" w:sz="4" w:space="0" w:color="auto"/>
            </w:tcBorders>
          </w:tcPr>
          <w:p w:rsidR="00417D23" w:rsidRPr="001D39EA" w:rsidRDefault="00F950B2" w:rsidP="00E51F0A">
            <w:pPr>
              <w:spacing w:line="240" w:lineRule="auto"/>
              <w:jc w:val="both"/>
              <w:rPr>
                <w:rFonts w:ascii="Lato" w:hAnsi="Lato"/>
                <w:szCs w:val="22"/>
                <w:lang w:val="en-IE"/>
              </w:rPr>
            </w:pPr>
            <w:r w:rsidRPr="001D39EA">
              <w:rPr>
                <w:rFonts w:ascii="Lato" w:hAnsi="Lato"/>
                <w:szCs w:val="22"/>
                <w:lang w:val="en-IE"/>
              </w:rPr>
              <w:t xml:space="preserve">Provide that shares shall be issued or sold at a price arrived at by dividing the net asset value of the </w:t>
            </w:r>
            <w:r w:rsidR="00F54A55" w:rsidRPr="001D39EA">
              <w:rPr>
                <w:rFonts w:ascii="Lato" w:hAnsi="Lato"/>
                <w:szCs w:val="22"/>
                <w:lang w:val="en-IE"/>
              </w:rPr>
              <w:t>Q</w:t>
            </w:r>
            <w:r w:rsidR="001A363E" w:rsidRPr="001D39EA">
              <w:rPr>
                <w:rFonts w:ascii="Lato" w:hAnsi="Lato"/>
                <w:szCs w:val="22"/>
                <w:lang w:val="en-IE"/>
              </w:rPr>
              <w:t xml:space="preserve">ualifying </w:t>
            </w:r>
            <w:r w:rsidR="00F54A55" w:rsidRPr="001D39EA">
              <w:rPr>
                <w:rFonts w:ascii="Lato" w:hAnsi="Lato"/>
                <w:szCs w:val="22"/>
                <w:lang w:val="en-IE"/>
              </w:rPr>
              <w:t>I</w:t>
            </w:r>
            <w:r w:rsidR="001A363E" w:rsidRPr="001D39EA">
              <w:rPr>
                <w:rFonts w:ascii="Lato" w:hAnsi="Lato"/>
                <w:szCs w:val="22"/>
                <w:lang w:val="en-IE"/>
              </w:rPr>
              <w:t xml:space="preserve">nvestor </w:t>
            </w:r>
            <w:r w:rsidR="00F54A55" w:rsidRPr="001D39EA">
              <w:rPr>
                <w:rFonts w:ascii="Lato" w:hAnsi="Lato"/>
                <w:szCs w:val="22"/>
                <w:lang w:val="en-IE"/>
              </w:rPr>
              <w:t>AIF</w:t>
            </w:r>
            <w:r w:rsidRPr="001D39EA">
              <w:rPr>
                <w:rFonts w:ascii="Lato" w:hAnsi="Lato"/>
                <w:szCs w:val="22"/>
                <w:lang w:val="en-IE"/>
              </w:rPr>
              <w:t xml:space="preserve"> by the number of shares outstanding, (such price may be increased by duties and charges)</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vMerge/>
          </w:tcPr>
          <w:p w:rsidR="00F950B2" w:rsidRPr="001D39EA" w:rsidRDefault="00F950B2">
            <w:pPr>
              <w:spacing w:line="240" w:lineRule="auto"/>
              <w:rPr>
                <w:rFonts w:ascii="Lato" w:hAnsi="Lato"/>
                <w:szCs w:val="22"/>
                <w:lang w:val="en-IE"/>
              </w:rPr>
            </w:pPr>
          </w:p>
        </w:tc>
        <w:tc>
          <w:tcPr>
            <w:tcW w:w="9423" w:type="dxa"/>
            <w:gridSpan w:val="5"/>
            <w:vMerge/>
          </w:tcPr>
          <w:p w:rsidR="00F950B2" w:rsidRPr="001D39EA"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vMerge/>
          </w:tcPr>
          <w:p w:rsidR="00F950B2" w:rsidRPr="001D39EA" w:rsidRDefault="00F950B2">
            <w:pPr>
              <w:spacing w:line="240" w:lineRule="auto"/>
              <w:rPr>
                <w:rFonts w:ascii="Lato" w:hAnsi="Lato"/>
                <w:szCs w:val="22"/>
                <w:lang w:val="en-IE"/>
              </w:rPr>
            </w:pPr>
          </w:p>
        </w:tc>
        <w:tc>
          <w:tcPr>
            <w:tcW w:w="9423" w:type="dxa"/>
            <w:gridSpan w:val="5"/>
            <w:vMerge/>
          </w:tcPr>
          <w:p w:rsidR="00F950B2" w:rsidRPr="001D39EA" w:rsidRDefault="00F950B2">
            <w:pPr>
              <w:spacing w:line="240" w:lineRule="auto"/>
              <w:jc w:val="both"/>
              <w:rPr>
                <w:rFonts w:ascii="Lato" w:hAnsi="Lato"/>
                <w:szCs w:val="22"/>
                <w:lang w:val="en-IE"/>
              </w:rPr>
            </w:pPr>
          </w:p>
        </w:tc>
        <w:tc>
          <w:tcPr>
            <w:tcW w:w="889" w:type="dxa"/>
            <w:gridSpan w:val="4"/>
          </w:tcPr>
          <w:p w:rsidR="00F950B2" w:rsidRPr="001D39EA" w:rsidRDefault="00F950B2">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tcPr>
          <w:p w:rsidR="00791B15" w:rsidRPr="001D39EA" w:rsidRDefault="00791B15">
            <w:pPr>
              <w:spacing w:line="240" w:lineRule="auto"/>
              <w:rPr>
                <w:rFonts w:ascii="Lato" w:hAnsi="Lato"/>
                <w:szCs w:val="22"/>
                <w:lang w:val="en-IE"/>
              </w:rPr>
            </w:pPr>
            <w:r w:rsidRPr="001D39EA">
              <w:rPr>
                <w:rFonts w:ascii="Lato" w:hAnsi="Lato"/>
                <w:szCs w:val="22"/>
                <w:lang w:val="en-IE"/>
              </w:rPr>
              <w:t>3.3.2</w:t>
            </w:r>
          </w:p>
        </w:tc>
        <w:tc>
          <w:tcPr>
            <w:tcW w:w="9423" w:type="dxa"/>
            <w:gridSpan w:val="5"/>
            <w:tcBorders>
              <w:right w:val="single" w:sz="4" w:space="0" w:color="auto"/>
            </w:tcBorders>
          </w:tcPr>
          <w:tbl>
            <w:tblPr>
              <w:tblW w:w="8592" w:type="dxa"/>
              <w:tblLayout w:type="fixed"/>
              <w:tblLook w:val="0000" w:firstRow="0" w:lastRow="0" w:firstColumn="0" w:lastColumn="0" w:noHBand="0" w:noVBand="0"/>
            </w:tblPr>
            <w:tblGrid>
              <w:gridCol w:w="8592"/>
            </w:tblGrid>
            <w:tr w:rsidR="00791B15" w:rsidRPr="00DC0539" w:rsidTr="00E700FE">
              <w:trPr>
                <w:cantSplit/>
                <w:trHeight w:val="251"/>
              </w:trPr>
              <w:tc>
                <w:tcPr>
                  <w:tcW w:w="8592" w:type="dxa"/>
                </w:tcPr>
                <w:p w:rsidR="00791B15" w:rsidRPr="001D39EA" w:rsidRDefault="00791B15">
                  <w:pPr>
                    <w:spacing w:line="240" w:lineRule="auto"/>
                    <w:ind w:left="-32"/>
                    <w:jc w:val="both"/>
                    <w:rPr>
                      <w:rFonts w:ascii="Lato" w:hAnsi="Lato"/>
                      <w:szCs w:val="22"/>
                      <w:lang w:val="en-IE"/>
                    </w:rPr>
                  </w:pPr>
                  <w:r w:rsidRPr="001D39EA">
                    <w:rPr>
                      <w:rFonts w:ascii="Lato" w:hAnsi="Lato"/>
                      <w:lang w:val="en-IE"/>
                    </w:rPr>
                    <w:t>Provide that the Q</w:t>
                  </w:r>
                  <w:r w:rsidR="00E124EE" w:rsidRPr="001D39EA">
                    <w:rPr>
                      <w:rFonts w:ascii="Lato" w:hAnsi="Lato"/>
                      <w:lang w:val="en-IE"/>
                    </w:rPr>
                    <w:t xml:space="preserve">ualifying </w:t>
                  </w:r>
                  <w:r w:rsidRPr="001D39EA">
                    <w:rPr>
                      <w:rFonts w:ascii="Lato" w:hAnsi="Lato"/>
                      <w:lang w:val="en-IE"/>
                    </w:rPr>
                    <w:t>I</w:t>
                  </w:r>
                  <w:r w:rsidR="00E124EE" w:rsidRPr="001D39EA">
                    <w:rPr>
                      <w:rFonts w:ascii="Lato" w:hAnsi="Lato"/>
                      <w:lang w:val="en-IE"/>
                    </w:rPr>
                    <w:t xml:space="preserve">nvestor </w:t>
                  </w:r>
                  <w:r w:rsidRPr="001D39EA">
                    <w:rPr>
                      <w:rFonts w:ascii="Lato" w:hAnsi="Lato"/>
                      <w:lang w:val="en-IE"/>
                    </w:rPr>
                    <w:t xml:space="preserve">AIF shall only launch share classes at a fixed price </w:t>
                  </w:r>
                </w:p>
              </w:tc>
            </w:tr>
          </w:tbl>
          <w:p w:rsidR="00791B15" w:rsidRPr="001D39EA" w:rsidRDefault="00791B15">
            <w:pPr>
              <w:spacing w:line="240" w:lineRule="auto"/>
              <w:jc w:val="both"/>
              <w:rPr>
                <w:rFonts w:ascii="Lato" w:hAnsi="Lato"/>
                <w:szCs w:val="22"/>
                <w:lang w:val="en-IE"/>
              </w:rPr>
            </w:pPr>
          </w:p>
        </w:tc>
        <w:tc>
          <w:tcPr>
            <w:tcW w:w="889" w:type="dxa"/>
            <w:gridSpan w:val="4"/>
            <w:tcBorders>
              <w:top w:val="single" w:sz="4" w:space="0" w:color="auto"/>
              <w:left w:val="single" w:sz="4" w:space="0" w:color="auto"/>
              <w:bottom w:val="single" w:sz="4" w:space="0" w:color="auto"/>
              <w:right w:val="single" w:sz="4" w:space="0" w:color="auto"/>
            </w:tcBorders>
          </w:tcPr>
          <w:p w:rsidR="00791B15" w:rsidRPr="001D39EA" w:rsidRDefault="00791B15">
            <w:pPr>
              <w:spacing w:line="240" w:lineRule="auto"/>
              <w:rPr>
                <w:rFonts w:ascii="Lato" w:hAnsi="Lato"/>
                <w:szCs w:val="22"/>
                <w:lang w:val="en-IE"/>
              </w:rPr>
            </w:pPr>
          </w:p>
        </w:tc>
      </w:tr>
      <w:tr w:rsidR="0016642E" w:rsidRPr="00DC0539" w:rsidTr="0062628E">
        <w:trPr>
          <w:gridAfter w:val="1"/>
          <w:wAfter w:w="105" w:type="dxa"/>
          <w:cantSplit/>
          <w:trHeight w:val="251"/>
        </w:trPr>
        <w:tc>
          <w:tcPr>
            <w:tcW w:w="925" w:type="dxa"/>
          </w:tcPr>
          <w:p w:rsidR="0016642E" w:rsidRPr="001D39EA" w:rsidRDefault="0016642E">
            <w:pPr>
              <w:spacing w:line="240" w:lineRule="auto"/>
              <w:rPr>
                <w:rFonts w:ascii="Lato" w:hAnsi="Lato"/>
                <w:szCs w:val="22"/>
                <w:lang w:val="en-IE"/>
              </w:rPr>
            </w:pPr>
          </w:p>
        </w:tc>
        <w:tc>
          <w:tcPr>
            <w:tcW w:w="9423" w:type="dxa"/>
            <w:gridSpan w:val="5"/>
          </w:tcPr>
          <w:p w:rsidR="0016642E" w:rsidRPr="001D39EA" w:rsidRDefault="0059751F" w:rsidP="00E700FE">
            <w:pPr>
              <w:spacing w:line="240" w:lineRule="auto"/>
              <w:ind w:left="-32"/>
              <w:jc w:val="both"/>
              <w:rPr>
                <w:rFonts w:ascii="Lato" w:hAnsi="Lato"/>
                <w:lang w:val="en-IE"/>
              </w:rPr>
            </w:pPr>
            <w:r w:rsidRPr="00F72ED7">
              <w:rPr>
                <w:rFonts w:ascii="Lato" w:hAnsi="Lato"/>
                <w:lang w:val="en-IE"/>
              </w:rPr>
              <w:t xml:space="preserve">after </w:t>
            </w:r>
            <w:r w:rsidR="00E124EE" w:rsidRPr="001D39EA">
              <w:rPr>
                <w:rFonts w:ascii="Lato" w:hAnsi="Lato"/>
                <w:lang w:val="en-IE"/>
              </w:rPr>
              <w:t xml:space="preserve">the initial offer </w:t>
            </w:r>
            <w:r w:rsidR="0016642E" w:rsidRPr="001D39EA">
              <w:rPr>
                <w:rFonts w:ascii="Lato" w:hAnsi="Lato"/>
                <w:lang w:val="en-IE"/>
              </w:rPr>
              <w:t>period where it has</w:t>
            </w:r>
            <w:r w:rsidR="00E700FE" w:rsidRPr="001D39EA">
              <w:rPr>
                <w:rFonts w:ascii="Lato" w:hAnsi="Lato"/>
                <w:lang w:val="en-IE"/>
              </w:rPr>
              <w:t xml:space="preserve"> been</w:t>
            </w:r>
            <w:r w:rsidR="0016642E" w:rsidRPr="001D39EA">
              <w:rPr>
                <w:rFonts w:ascii="Lato" w:hAnsi="Lato"/>
                <w:lang w:val="en-IE"/>
              </w:rPr>
              <w:t xml:space="preserve"> </w:t>
            </w:r>
            <w:r w:rsidR="00E700FE" w:rsidRPr="001D39EA">
              <w:rPr>
                <w:rFonts w:ascii="Lato" w:hAnsi="Lato"/>
                <w:lang w:val="en-IE"/>
              </w:rPr>
              <w:t>confirmed</w:t>
            </w:r>
            <w:r w:rsidR="0016642E" w:rsidRPr="001D39EA">
              <w:rPr>
                <w:rFonts w:ascii="Lato" w:hAnsi="Lato"/>
                <w:lang w:val="en-IE"/>
              </w:rPr>
              <w:t xml:space="preserve"> to the Central Bank that existing shareholders in the</w:t>
            </w:r>
            <w:r w:rsidR="00E700FE" w:rsidRPr="001D39EA">
              <w:rPr>
                <w:rFonts w:ascii="Lato" w:hAnsi="Lato"/>
                <w:lang w:val="en-IE"/>
              </w:rPr>
              <w:t xml:space="preserve"> Qualifying Investor AIF/sub-fund are not prejudiced</w:t>
            </w:r>
          </w:p>
        </w:tc>
        <w:tc>
          <w:tcPr>
            <w:tcW w:w="889" w:type="dxa"/>
            <w:gridSpan w:val="4"/>
            <w:tcBorders>
              <w:top w:val="single" w:sz="4" w:space="0" w:color="auto"/>
            </w:tcBorders>
          </w:tcPr>
          <w:p w:rsidR="0016642E" w:rsidRPr="001D39EA" w:rsidRDefault="0016642E">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tcPr>
          <w:p w:rsidR="006562AD" w:rsidRPr="001D39EA" w:rsidRDefault="006562AD">
            <w:pPr>
              <w:spacing w:line="240" w:lineRule="auto"/>
              <w:rPr>
                <w:rFonts w:ascii="Lato" w:hAnsi="Lato"/>
                <w:szCs w:val="22"/>
                <w:lang w:val="en-IE"/>
              </w:rPr>
            </w:pPr>
          </w:p>
        </w:tc>
        <w:tc>
          <w:tcPr>
            <w:tcW w:w="9423" w:type="dxa"/>
            <w:gridSpan w:val="5"/>
          </w:tcPr>
          <w:p w:rsidR="006562AD" w:rsidRPr="001D39EA" w:rsidRDefault="006562AD">
            <w:pPr>
              <w:spacing w:line="240" w:lineRule="auto"/>
              <w:jc w:val="both"/>
              <w:rPr>
                <w:rFonts w:ascii="Lato" w:hAnsi="Lato"/>
                <w:szCs w:val="22"/>
                <w:lang w:val="en-IE"/>
              </w:rPr>
            </w:pPr>
          </w:p>
        </w:tc>
        <w:tc>
          <w:tcPr>
            <w:tcW w:w="889" w:type="dxa"/>
            <w:gridSpan w:val="4"/>
            <w:tcBorders>
              <w:bottom w:val="single" w:sz="4" w:space="0" w:color="auto"/>
            </w:tcBorders>
          </w:tcPr>
          <w:p w:rsidR="006562AD" w:rsidRPr="001D39EA" w:rsidRDefault="006562AD">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tcPr>
          <w:p w:rsidR="00AF2D7A" w:rsidRPr="001D39EA" w:rsidRDefault="00AF2D7A" w:rsidP="00791B15">
            <w:pPr>
              <w:spacing w:line="240" w:lineRule="auto"/>
              <w:rPr>
                <w:rFonts w:ascii="Lato" w:hAnsi="Lato"/>
                <w:szCs w:val="22"/>
                <w:lang w:val="en-IE"/>
              </w:rPr>
            </w:pPr>
            <w:r w:rsidRPr="001D39EA">
              <w:rPr>
                <w:rFonts w:ascii="Lato" w:hAnsi="Lato"/>
                <w:szCs w:val="22"/>
                <w:lang w:val="en-IE"/>
              </w:rPr>
              <w:t>3.3.</w:t>
            </w:r>
            <w:r w:rsidR="00791B15" w:rsidRPr="001D39EA">
              <w:rPr>
                <w:rFonts w:ascii="Lato" w:hAnsi="Lato"/>
                <w:szCs w:val="22"/>
                <w:lang w:val="en-IE"/>
              </w:rPr>
              <w:t>3</w:t>
            </w:r>
          </w:p>
        </w:tc>
        <w:tc>
          <w:tcPr>
            <w:tcW w:w="9423" w:type="dxa"/>
            <w:gridSpan w:val="5"/>
            <w:tcBorders>
              <w:right w:val="single" w:sz="4" w:space="0" w:color="auto"/>
            </w:tcBorders>
          </w:tcPr>
          <w:p w:rsidR="00AF2D7A" w:rsidRPr="001D39EA" w:rsidRDefault="00E51F0A">
            <w:pPr>
              <w:spacing w:line="240" w:lineRule="auto"/>
              <w:jc w:val="both"/>
              <w:rPr>
                <w:rFonts w:ascii="Lato" w:hAnsi="Lato"/>
                <w:szCs w:val="22"/>
                <w:lang w:val="en-IE"/>
              </w:rPr>
            </w:pPr>
            <w:r w:rsidRPr="001D39EA">
              <w:rPr>
                <w:rFonts w:ascii="Lato" w:hAnsi="Lato"/>
                <w:szCs w:val="22"/>
                <w:lang w:val="en-IE"/>
              </w:rPr>
              <w:t>Provide that</w:t>
            </w:r>
            <w:r w:rsidR="00791B15" w:rsidRPr="001D39EA">
              <w:rPr>
                <w:rFonts w:ascii="Lato" w:hAnsi="Lato"/>
                <w:szCs w:val="22"/>
                <w:lang w:val="en-IE"/>
              </w:rPr>
              <w:t xml:space="preserve"> </w:t>
            </w:r>
            <w:r w:rsidR="00F94168" w:rsidRPr="001D39EA">
              <w:rPr>
                <w:rFonts w:ascii="Lato" w:hAnsi="Lato"/>
                <w:szCs w:val="22"/>
                <w:lang w:val="en-IE"/>
              </w:rPr>
              <w:t>the Qualifying Investor AIF shall not issue units, or if issued shall cancel such</w:t>
            </w:r>
            <w:r w:rsidR="004A747B" w:rsidRPr="001D39EA">
              <w:rPr>
                <w:rFonts w:ascii="Lato" w:hAnsi="Lato"/>
                <w:szCs w:val="22"/>
                <w:lang w:val="en-IE"/>
              </w:rPr>
              <w:t xml:space="preserve"> units, </w:t>
            </w:r>
          </w:p>
        </w:tc>
        <w:tc>
          <w:tcPr>
            <w:tcW w:w="889" w:type="dxa"/>
            <w:gridSpan w:val="4"/>
            <w:tcBorders>
              <w:top w:val="single" w:sz="4" w:space="0" w:color="auto"/>
              <w:left w:val="single" w:sz="4" w:space="0" w:color="auto"/>
              <w:bottom w:val="single" w:sz="4" w:space="0" w:color="auto"/>
              <w:right w:val="single" w:sz="4" w:space="0" w:color="auto"/>
            </w:tcBorders>
          </w:tcPr>
          <w:p w:rsidR="00AF2D7A" w:rsidRPr="001D39EA" w:rsidRDefault="00AF2D7A">
            <w:pPr>
              <w:spacing w:line="240" w:lineRule="auto"/>
              <w:rPr>
                <w:rFonts w:ascii="Lato" w:hAnsi="Lato"/>
                <w:szCs w:val="22"/>
                <w:lang w:val="en-IE"/>
              </w:rPr>
            </w:pPr>
          </w:p>
        </w:tc>
      </w:tr>
      <w:tr w:rsidR="00791B15" w:rsidRPr="00DC0539" w:rsidTr="0062628E">
        <w:trPr>
          <w:gridAfter w:val="1"/>
          <w:wAfter w:w="105" w:type="dxa"/>
          <w:cantSplit/>
          <w:trHeight w:val="251"/>
        </w:trPr>
        <w:tc>
          <w:tcPr>
            <w:tcW w:w="925" w:type="dxa"/>
          </w:tcPr>
          <w:p w:rsidR="00AF2D7A" w:rsidRPr="001D39EA" w:rsidRDefault="00AF2D7A">
            <w:pPr>
              <w:spacing w:line="240" w:lineRule="auto"/>
              <w:rPr>
                <w:rFonts w:ascii="Lato" w:hAnsi="Lato"/>
                <w:szCs w:val="22"/>
                <w:lang w:val="en-IE"/>
              </w:rPr>
            </w:pPr>
          </w:p>
        </w:tc>
        <w:tc>
          <w:tcPr>
            <w:tcW w:w="9423" w:type="dxa"/>
            <w:gridSpan w:val="5"/>
          </w:tcPr>
          <w:p w:rsidR="00AF2D7A" w:rsidRPr="001D39EA" w:rsidRDefault="0059751F">
            <w:pPr>
              <w:spacing w:line="240" w:lineRule="auto"/>
              <w:jc w:val="both"/>
              <w:rPr>
                <w:rFonts w:ascii="Lato" w:hAnsi="Lato"/>
                <w:szCs w:val="22"/>
                <w:lang w:val="en-IE"/>
              </w:rPr>
            </w:pPr>
            <w:r w:rsidRPr="00F72ED7">
              <w:rPr>
                <w:rFonts w:ascii="Lato" w:hAnsi="Lato"/>
                <w:szCs w:val="22"/>
                <w:lang w:val="en-IE"/>
              </w:rPr>
              <w:t xml:space="preserve">unless </w:t>
            </w:r>
            <w:r w:rsidR="008E5369" w:rsidRPr="001D39EA">
              <w:rPr>
                <w:rFonts w:ascii="Lato" w:hAnsi="Lato"/>
                <w:szCs w:val="22"/>
                <w:lang w:val="en-IE"/>
              </w:rPr>
              <w:t xml:space="preserve">the </w:t>
            </w:r>
            <w:r w:rsidR="00791B15" w:rsidRPr="001D39EA">
              <w:rPr>
                <w:rFonts w:ascii="Lato" w:hAnsi="Lato"/>
                <w:szCs w:val="22"/>
                <w:lang w:val="en-IE"/>
              </w:rPr>
              <w:t xml:space="preserve">equivalent of the net  </w:t>
            </w:r>
            <w:r w:rsidR="00E51F0A" w:rsidRPr="001D39EA">
              <w:rPr>
                <w:rFonts w:ascii="Lato" w:hAnsi="Lato"/>
                <w:szCs w:val="22"/>
                <w:lang w:val="en-IE"/>
              </w:rPr>
              <w:t>issue price is paid into the assets of the Qualifying Investor AIF within a reasonable time</w:t>
            </w:r>
            <w:r w:rsidR="00791B15" w:rsidRPr="001D39EA">
              <w:rPr>
                <w:rFonts w:ascii="Lato" w:hAnsi="Lato"/>
                <w:szCs w:val="22"/>
                <w:lang w:val="en-IE"/>
              </w:rPr>
              <w:t xml:space="preserve"> which is specified in the prospectus</w:t>
            </w:r>
          </w:p>
        </w:tc>
        <w:tc>
          <w:tcPr>
            <w:tcW w:w="889" w:type="dxa"/>
            <w:gridSpan w:val="4"/>
            <w:tcBorders>
              <w:top w:val="single" w:sz="4" w:space="0" w:color="auto"/>
            </w:tcBorders>
          </w:tcPr>
          <w:p w:rsidR="00AF2D7A" w:rsidRPr="001D39EA" w:rsidRDefault="00AF2D7A">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AF6186" w:rsidRPr="001D39EA" w:rsidRDefault="00AF6186">
            <w:pPr>
              <w:spacing w:line="240" w:lineRule="auto"/>
              <w:rPr>
                <w:rFonts w:ascii="Lato" w:hAnsi="Lato"/>
                <w:szCs w:val="22"/>
                <w:lang w:val="en-IE"/>
              </w:rPr>
            </w:pPr>
          </w:p>
        </w:tc>
        <w:tc>
          <w:tcPr>
            <w:tcW w:w="9423" w:type="dxa"/>
            <w:gridSpan w:val="5"/>
            <w:tcBorders>
              <w:top w:val="nil"/>
              <w:left w:val="nil"/>
              <w:bottom w:val="nil"/>
              <w:right w:val="nil"/>
            </w:tcBorders>
          </w:tcPr>
          <w:p w:rsidR="00AF6186" w:rsidRPr="001D39EA" w:rsidRDefault="00AF6186">
            <w:pPr>
              <w:spacing w:line="240" w:lineRule="auto"/>
              <w:ind w:left="511" w:hanging="511"/>
              <w:jc w:val="both"/>
              <w:rPr>
                <w:rFonts w:ascii="Lato" w:hAnsi="Lato"/>
                <w:szCs w:val="22"/>
                <w:lang w:val="en-IE"/>
              </w:rPr>
            </w:pPr>
          </w:p>
        </w:tc>
        <w:tc>
          <w:tcPr>
            <w:tcW w:w="889" w:type="dxa"/>
            <w:gridSpan w:val="4"/>
            <w:tcBorders>
              <w:top w:val="nil"/>
              <w:left w:val="nil"/>
              <w:bottom w:val="single" w:sz="4" w:space="0" w:color="auto"/>
              <w:right w:val="nil"/>
            </w:tcBorders>
          </w:tcPr>
          <w:p w:rsidR="00AF6186" w:rsidRPr="001D39EA" w:rsidRDefault="00AF6186">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AF6186" w:rsidRPr="001D39EA" w:rsidRDefault="00AF6186" w:rsidP="00791B15">
            <w:pPr>
              <w:spacing w:line="240" w:lineRule="auto"/>
              <w:rPr>
                <w:rFonts w:ascii="Lato" w:hAnsi="Lato"/>
                <w:szCs w:val="22"/>
                <w:lang w:val="en-IE"/>
              </w:rPr>
            </w:pPr>
            <w:r w:rsidRPr="001D39EA">
              <w:rPr>
                <w:rFonts w:ascii="Lato" w:hAnsi="Lato"/>
                <w:szCs w:val="22"/>
                <w:lang w:val="en-IE"/>
              </w:rPr>
              <w:t>3.3.</w:t>
            </w:r>
            <w:r w:rsidR="00791B15" w:rsidRPr="001D39EA">
              <w:rPr>
                <w:rFonts w:ascii="Lato" w:hAnsi="Lato"/>
                <w:szCs w:val="22"/>
                <w:lang w:val="en-IE"/>
              </w:rPr>
              <w:t>4</w:t>
            </w:r>
          </w:p>
        </w:tc>
        <w:tc>
          <w:tcPr>
            <w:tcW w:w="9423" w:type="dxa"/>
            <w:gridSpan w:val="5"/>
            <w:tcBorders>
              <w:top w:val="nil"/>
              <w:left w:val="nil"/>
              <w:bottom w:val="nil"/>
              <w:right w:val="single" w:sz="4" w:space="0" w:color="auto"/>
            </w:tcBorders>
          </w:tcPr>
          <w:p w:rsidR="00AF6186" w:rsidRPr="001D39EA" w:rsidRDefault="00AF6186" w:rsidP="001A363E">
            <w:pPr>
              <w:spacing w:line="240" w:lineRule="auto"/>
              <w:ind w:left="511" w:hanging="511"/>
              <w:jc w:val="both"/>
              <w:rPr>
                <w:rFonts w:ascii="Lato" w:hAnsi="Lato"/>
                <w:szCs w:val="22"/>
                <w:lang w:val="en-IE"/>
              </w:rPr>
            </w:pPr>
            <w:r w:rsidRPr="001D39EA">
              <w:rPr>
                <w:rFonts w:ascii="Lato" w:hAnsi="Lato"/>
                <w:szCs w:val="22"/>
                <w:lang w:val="en-IE"/>
              </w:rPr>
              <w:t>If relevant disclose that the Q</w:t>
            </w:r>
            <w:r w:rsidR="001A363E" w:rsidRPr="001D39EA">
              <w:rPr>
                <w:rFonts w:ascii="Lato" w:hAnsi="Lato"/>
                <w:szCs w:val="22"/>
                <w:lang w:val="en-IE"/>
              </w:rPr>
              <w:t xml:space="preserve">ualifying </w:t>
            </w:r>
            <w:r w:rsidRPr="001D39EA">
              <w:rPr>
                <w:rFonts w:ascii="Lato" w:hAnsi="Lato"/>
                <w:szCs w:val="22"/>
                <w:lang w:val="en-IE"/>
              </w:rPr>
              <w:t>I</w:t>
            </w:r>
            <w:r w:rsidR="001A363E" w:rsidRPr="001D39EA">
              <w:rPr>
                <w:rFonts w:ascii="Lato" w:hAnsi="Lato"/>
                <w:szCs w:val="22"/>
                <w:lang w:val="en-IE"/>
              </w:rPr>
              <w:t xml:space="preserve">nvestor </w:t>
            </w:r>
            <w:r w:rsidRPr="001D39EA">
              <w:rPr>
                <w:rFonts w:ascii="Lato" w:hAnsi="Lato"/>
                <w:szCs w:val="22"/>
                <w:lang w:val="en-IE"/>
              </w:rPr>
              <w:t>AIF may provide for the issue of partly paid</w:t>
            </w:r>
            <w:r w:rsidR="004A747B" w:rsidRPr="001D39EA">
              <w:rPr>
                <w:rFonts w:ascii="Lato" w:hAnsi="Lato"/>
                <w:szCs w:val="22"/>
                <w:lang w:val="en-IE"/>
              </w:rPr>
              <w:t xml:space="preserve"> units</w:t>
            </w:r>
            <w:r w:rsidRPr="001D39EA">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AF6186" w:rsidRPr="001D39EA" w:rsidRDefault="00AF6186">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1A363E" w:rsidRPr="001D39EA" w:rsidRDefault="001A363E">
            <w:pPr>
              <w:spacing w:line="240" w:lineRule="auto"/>
              <w:rPr>
                <w:rFonts w:ascii="Lato" w:hAnsi="Lato"/>
                <w:szCs w:val="22"/>
                <w:lang w:val="en-IE"/>
              </w:rPr>
            </w:pPr>
          </w:p>
        </w:tc>
        <w:tc>
          <w:tcPr>
            <w:tcW w:w="9423" w:type="dxa"/>
            <w:gridSpan w:val="5"/>
            <w:tcBorders>
              <w:top w:val="nil"/>
              <w:left w:val="nil"/>
              <w:bottom w:val="nil"/>
              <w:right w:val="nil"/>
            </w:tcBorders>
          </w:tcPr>
          <w:p w:rsidR="001A363E" w:rsidRPr="001D39EA" w:rsidRDefault="001A363E" w:rsidP="001A363E">
            <w:pPr>
              <w:spacing w:line="240" w:lineRule="auto"/>
              <w:ind w:left="511" w:hanging="511"/>
              <w:jc w:val="both"/>
              <w:rPr>
                <w:rFonts w:ascii="Lato" w:hAnsi="Lato"/>
                <w:szCs w:val="22"/>
                <w:lang w:val="en-IE"/>
              </w:rPr>
            </w:pPr>
          </w:p>
        </w:tc>
        <w:tc>
          <w:tcPr>
            <w:tcW w:w="889" w:type="dxa"/>
            <w:gridSpan w:val="4"/>
            <w:tcBorders>
              <w:top w:val="single" w:sz="4" w:space="0" w:color="auto"/>
              <w:left w:val="nil"/>
              <w:bottom w:val="nil"/>
              <w:right w:val="nil"/>
            </w:tcBorders>
          </w:tcPr>
          <w:p w:rsidR="001A363E" w:rsidRPr="001D39EA" w:rsidRDefault="001A363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rsidP="00791B15">
            <w:pPr>
              <w:spacing w:line="240" w:lineRule="auto"/>
              <w:rPr>
                <w:rFonts w:ascii="Lato" w:hAnsi="Lato"/>
                <w:szCs w:val="22"/>
                <w:lang w:val="en-IE"/>
              </w:rPr>
            </w:pPr>
            <w:r w:rsidRPr="001D39EA">
              <w:rPr>
                <w:rFonts w:ascii="Lato" w:hAnsi="Lato"/>
                <w:szCs w:val="22"/>
                <w:lang w:val="en-IE"/>
              </w:rPr>
              <w:t>3.3.</w:t>
            </w:r>
            <w:r w:rsidR="00791B15" w:rsidRPr="001D39EA">
              <w:rPr>
                <w:rFonts w:ascii="Lato" w:hAnsi="Lato"/>
                <w:szCs w:val="22"/>
                <w:lang w:val="en-IE"/>
              </w:rPr>
              <w:t>5</w:t>
            </w:r>
          </w:p>
        </w:tc>
        <w:tc>
          <w:tcPr>
            <w:tcW w:w="9423" w:type="dxa"/>
            <w:gridSpan w:val="5"/>
            <w:tcBorders>
              <w:top w:val="nil"/>
              <w:left w:val="nil"/>
              <w:bottom w:val="nil"/>
              <w:right w:val="nil"/>
            </w:tcBorders>
          </w:tcPr>
          <w:p w:rsidR="00F950B2" w:rsidRPr="001D39EA" w:rsidRDefault="00F950B2">
            <w:pPr>
              <w:spacing w:line="240" w:lineRule="auto"/>
              <w:jc w:val="both"/>
              <w:rPr>
                <w:rFonts w:ascii="Lato" w:hAnsi="Lato"/>
                <w:szCs w:val="22"/>
                <w:lang w:val="en-IE"/>
              </w:rPr>
            </w:pPr>
            <w:r w:rsidRPr="001D39EA">
              <w:rPr>
                <w:rFonts w:ascii="Lato" w:hAnsi="Lato"/>
                <w:szCs w:val="22"/>
                <w:lang w:val="en-IE"/>
              </w:rPr>
              <w:t xml:space="preserve">Provide for the issue of </w:t>
            </w:r>
          </w:p>
        </w:tc>
        <w:tc>
          <w:tcPr>
            <w:tcW w:w="889" w:type="dxa"/>
            <w:gridSpan w:val="4"/>
            <w:tcBorders>
              <w:top w:val="nil"/>
              <w:left w:val="nil"/>
              <w:bottom w:val="single" w:sz="4" w:space="0" w:color="auto"/>
              <w:right w:val="nil"/>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F950B2" w:rsidRPr="001D39EA" w:rsidRDefault="00F950B2" w:rsidP="008D7B8A">
            <w:pPr>
              <w:spacing w:line="240" w:lineRule="auto"/>
              <w:jc w:val="both"/>
              <w:rPr>
                <w:rFonts w:ascii="Lato" w:hAnsi="Lato"/>
                <w:szCs w:val="22"/>
                <w:lang w:val="en-IE"/>
              </w:rPr>
            </w:pPr>
            <w:r w:rsidRPr="001D39EA">
              <w:rPr>
                <w:rFonts w:ascii="Lato" w:hAnsi="Lato"/>
                <w:szCs w:val="22"/>
                <w:lang w:val="en-IE"/>
              </w:rPr>
              <w:t>share certificates</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pPr>
              <w:spacing w:line="240" w:lineRule="auto"/>
              <w:jc w:val="right"/>
              <w:rPr>
                <w:rFonts w:ascii="Lato" w:hAnsi="Lato"/>
                <w:szCs w:val="22"/>
                <w:lang w:val="en-IE"/>
              </w:rPr>
            </w:pPr>
          </w:p>
        </w:tc>
        <w:tc>
          <w:tcPr>
            <w:tcW w:w="9423" w:type="dxa"/>
            <w:gridSpan w:val="5"/>
            <w:tcBorders>
              <w:top w:val="nil"/>
              <w:left w:val="nil"/>
              <w:bottom w:val="nil"/>
              <w:right w:val="nil"/>
            </w:tcBorders>
          </w:tcPr>
          <w:p w:rsidR="00F950B2" w:rsidRPr="001D39EA" w:rsidRDefault="00F950B2">
            <w:pPr>
              <w:spacing w:line="240" w:lineRule="auto"/>
              <w:jc w:val="both"/>
              <w:rPr>
                <w:rFonts w:ascii="Lato" w:hAnsi="Lato"/>
                <w:szCs w:val="22"/>
                <w:lang w:val="en-IE"/>
              </w:rPr>
            </w:pPr>
            <w:r w:rsidRPr="001D39EA">
              <w:rPr>
                <w:rFonts w:ascii="Lato" w:hAnsi="Lato"/>
                <w:szCs w:val="22"/>
                <w:lang w:val="en-IE"/>
              </w:rPr>
              <w:t>and/or</w:t>
            </w:r>
          </w:p>
        </w:tc>
        <w:tc>
          <w:tcPr>
            <w:tcW w:w="889" w:type="dxa"/>
            <w:gridSpan w:val="4"/>
            <w:tcBorders>
              <w:top w:val="single" w:sz="4" w:space="0" w:color="auto"/>
              <w:left w:val="nil"/>
              <w:bottom w:val="single" w:sz="4" w:space="0" w:color="auto"/>
              <w:right w:val="nil"/>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single" w:sz="4" w:space="0" w:color="auto"/>
            </w:tcBorders>
          </w:tcPr>
          <w:p w:rsidR="00F950B2" w:rsidRPr="001D39EA" w:rsidRDefault="00F950B2">
            <w:pPr>
              <w:spacing w:line="240" w:lineRule="auto"/>
              <w:jc w:val="both"/>
              <w:rPr>
                <w:rFonts w:ascii="Lato" w:hAnsi="Lato"/>
                <w:szCs w:val="22"/>
                <w:lang w:val="en-IE"/>
              </w:rPr>
            </w:pPr>
            <w:r w:rsidRPr="001D39EA">
              <w:rPr>
                <w:rFonts w:ascii="Lato" w:hAnsi="Lato"/>
                <w:szCs w:val="22"/>
                <w:lang w:val="en-IE"/>
              </w:rPr>
              <w:t>a written confirmation of entry on the register.</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pPr>
              <w:spacing w:line="240" w:lineRule="auto"/>
              <w:rPr>
                <w:rFonts w:ascii="Lato" w:hAnsi="Lato"/>
                <w:szCs w:val="22"/>
                <w:lang w:val="en-IE"/>
              </w:rPr>
            </w:pPr>
          </w:p>
        </w:tc>
        <w:tc>
          <w:tcPr>
            <w:tcW w:w="9423" w:type="dxa"/>
            <w:gridSpan w:val="5"/>
            <w:tcBorders>
              <w:top w:val="nil"/>
              <w:left w:val="nil"/>
              <w:bottom w:val="nil"/>
              <w:right w:val="nil"/>
            </w:tcBorders>
          </w:tcPr>
          <w:p w:rsidR="00F950B2" w:rsidRPr="001D39EA" w:rsidRDefault="00F950B2">
            <w:pPr>
              <w:spacing w:line="240" w:lineRule="auto"/>
              <w:jc w:val="both"/>
              <w:rPr>
                <w:rFonts w:ascii="Lato" w:hAnsi="Lato"/>
                <w:b/>
                <w:bCs/>
                <w:i/>
                <w:iCs/>
                <w:szCs w:val="22"/>
                <w:lang w:val="en-IE"/>
              </w:rPr>
            </w:pPr>
          </w:p>
        </w:tc>
        <w:tc>
          <w:tcPr>
            <w:tcW w:w="889" w:type="dxa"/>
            <w:gridSpan w:val="4"/>
            <w:tcBorders>
              <w:top w:val="single" w:sz="4" w:space="0" w:color="auto"/>
              <w:left w:val="nil"/>
              <w:bottom w:val="nil"/>
              <w:right w:val="nil"/>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rsidP="00791B15">
            <w:pPr>
              <w:spacing w:line="240" w:lineRule="auto"/>
              <w:rPr>
                <w:rFonts w:ascii="Lato" w:hAnsi="Lato"/>
                <w:szCs w:val="22"/>
                <w:lang w:val="en-IE"/>
              </w:rPr>
            </w:pPr>
            <w:r w:rsidRPr="001D39EA">
              <w:rPr>
                <w:rFonts w:ascii="Lato" w:hAnsi="Lato"/>
                <w:szCs w:val="22"/>
                <w:lang w:val="en-IE"/>
              </w:rPr>
              <w:t>3.3.</w:t>
            </w:r>
            <w:r w:rsidR="00791B15" w:rsidRPr="001D39EA">
              <w:rPr>
                <w:rFonts w:ascii="Lato" w:hAnsi="Lato"/>
                <w:szCs w:val="22"/>
                <w:lang w:val="en-IE"/>
              </w:rPr>
              <w:t>6</w:t>
            </w:r>
          </w:p>
        </w:tc>
        <w:tc>
          <w:tcPr>
            <w:tcW w:w="9423" w:type="dxa"/>
            <w:gridSpan w:val="5"/>
            <w:tcBorders>
              <w:top w:val="nil"/>
              <w:left w:val="nil"/>
              <w:bottom w:val="nil"/>
              <w:right w:val="single" w:sz="4" w:space="0" w:color="auto"/>
            </w:tcBorders>
          </w:tcPr>
          <w:p w:rsidR="00F950B2" w:rsidRPr="001D39EA" w:rsidRDefault="00F950B2">
            <w:pPr>
              <w:spacing w:line="240" w:lineRule="auto"/>
              <w:jc w:val="both"/>
              <w:rPr>
                <w:rFonts w:ascii="Lato" w:hAnsi="Lato"/>
                <w:szCs w:val="22"/>
                <w:lang w:val="en-IE"/>
              </w:rPr>
            </w:pPr>
            <w:r w:rsidRPr="001D39EA">
              <w:rPr>
                <w:rFonts w:ascii="Lato" w:hAnsi="Lato"/>
                <w:szCs w:val="22"/>
                <w:lang w:val="en-IE"/>
              </w:rPr>
              <w:t xml:space="preserve">Provide that share certificates must be signed by the </w:t>
            </w:r>
            <w:r w:rsidR="006029DA" w:rsidRPr="001D39EA">
              <w:rPr>
                <w:rFonts w:ascii="Lato" w:hAnsi="Lato"/>
                <w:szCs w:val="22"/>
                <w:lang w:val="en-IE"/>
              </w:rPr>
              <w:t>depositary</w:t>
            </w:r>
            <w:r w:rsidRPr="001D39EA">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pPr>
              <w:spacing w:line="240" w:lineRule="auto"/>
              <w:rPr>
                <w:rFonts w:ascii="Lato" w:hAnsi="Lato"/>
                <w:szCs w:val="22"/>
                <w:lang w:val="en-IE"/>
              </w:rPr>
            </w:pPr>
          </w:p>
        </w:tc>
        <w:tc>
          <w:tcPr>
            <w:tcW w:w="9423" w:type="dxa"/>
            <w:gridSpan w:val="5"/>
            <w:tcBorders>
              <w:top w:val="nil"/>
              <w:left w:val="nil"/>
              <w:bottom w:val="nil"/>
              <w:right w:val="nil"/>
            </w:tcBorders>
          </w:tcPr>
          <w:p w:rsidR="00F950B2" w:rsidRPr="001D39EA" w:rsidRDefault="00F950B2">
            <w:pPr>
              <w:spacing w:line="240" w:lineRule="auto"/>
              <w:jc w:val="both"/>
              <w:rPr>
                <w:rFonts w:ascii="Lato" w:hAnsi="Lato"/>
                <w:szCs w:val="22"/>
                <w:lang w:val="en-IE"/>
              </w:rPr>
            </w:pPr>
            <w:r w:rsidRPr="001D39EA">
              <w:rPr>
                <w:rFonts w:ascii="Lato" w:hAnsi="Lato"/>
                <w:szCs w:val="22"/>
                <w:lang w:val="en-IE"/>
              </w:rPr>
              <w:t>(This signature may be reproduced mechanically)</w:t>
            </w:r>
          </w:p>
        </w:tc>
        <w:tc>
          <w:tcPr>
            <w:tcW w:w="889" w:type="dxa"/>
            <w:gridSpan w:val="4"/>
            <w:tcBorders>
              <w:top w:val="single" w:sz="4" w:space="0" w:color="auto"/>
              <w:left w:val="nil"/>
              <w:bottom w:val="nil"/>
              <w:right w:val="nil"/>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pPr>
              <w:spacing w:line="240" w:lineRule="auto"/>
              <w:rPr>
                <w:rFonts w:ascii="Lato" w:hAnsi="Lato"/>
                <w:szCs w:val="22"/>
                <w:lang w:val="en-IE"/>
              </w:rPr>
            </w:pPr>
          </w:p>
        </w:tc>
        <w:tc>
          <w:tcPr>
            <w:tcW w:w="9423" w:type="dxa"/>
            <w:gridSpan w:val="5"/>
            <w:tcBorders>
              <w:top w:val="nil"/>
              <w:left w:val="nil"/>
              <w:bottom w:val="nil"/>
              <w:right w:val="nil"/>
            </w:tcBorders>
          </w:tcPr>
          <w:p w:rsidR="00F950B2" w:rsidRPr="001D39EA" w:rsidRDefault="00F950B2">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F950B2" w:rsidRPr="001D39EA" w:rsidRDefault="00F950B2">
            <w:pPr>
              <w:pStyle w:val="FootnoteText"/>
              <w:rPr>
                <w:rFonts w:ascii="Lato" w:hAnsi="Lato"/>
                <w:sz w:val="22"/>
                <w:szCs w:val="22"/>
                <w:lang w:val="en-IE"/>
              </w:rPr>
            </w:pPr>
            <w:r w:rsidRPr="001D39EA">
              <w:rPr>
                <w:rFonts w:ascii="Lato" w:hAnsi="Lato"/>
                <w:sz w:val="22"/>
                <w:szCs w:val="22"/>
                <w:lang w:val="en-IE"/>
              </w:rPr>
              <w:t>Yes/No</w:t>
            </w: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rsidP="00791B15">
            <w:pPr>
              <w:spacing w:line="240" w:lineRule="auto"/>
              <w:rPr>
                <w:rFonts w:ascii="Lato" w:hAnsi="Lato"/>
                <w:szCs w:val="22"/>
                <w:lang w:val="en-IE"/>
              </w:rPr>
            </w:pPr>
            <w:r w:rsidRPr="001D39EA">
              <w:rPr>
                <w:rFonts w:ascii="Lato" w:hAnsi="Lato"/>
                <w:szCs w:val="22"/>
                <w:lang w:val="en-IE"/>
              </w:rPr>
              <w:t>3.3.</w:t>
            </w:r>
            <w:r w:rsidR="00791B15" w:rsidRPr="001D39EA">
              <w:rPr>
                <w:rFonts w:ascii="Lato" w:hAnsi="Lato"/>
                <w:szCs w:val="22"/>
                <w:lang w:val="en-IE"/>
              </w:rPr>
              <w:t>7</w:t>
            </w:r>
          </w:p>
        </w:tc>
        <w:tc>
          <w:tcPr>
            <w:tcW w:w="9423" w:type="dxa"/>
            <w:gridSpan w:val="5"/>
            <w:tcBorders>
              <w:top w:val="nil"/>
              <w:left w:val="nil"/>
              <w:bottom w:val="nil"/>
              <w:right w:val="single" w:sz="4" w:space="0" w:color="auto"/>
            </w:tcBorders>
          </w:tcPr>
          <w:p w:rsidR="00F950B2" w:rsidRPr="001D39EA" w:rsidRDefault="00F950B2" w:rsidP="00ED31FB">
            <w:pPr>
              <w:spacing w:line="240" w:lineRule="auto"/>
              <w:jc w:val="both"/>
              <w:rPr>
                <w:rFonts w:ascii="Lato" w:hAnsi="Lato"/>
                <w:szCs w:val="22"/>
                <w:lang w:val="en-IE"/>
              </w:rPr>
            </w:pPr>
            <w:r w:rsidRPr="001D39EA">
              <w:rPr>
                <w:rFonts w:ascii="Lato" w:hAnsi="Lato"/>
                <w:szCs w:val="22"/>
                <w:lang w:val="en-IE"/>
              </w:rPr>
              <w:t>Do</w:t>
            </w:r>
            <w:r w:rsidR="00ED31FB" w:rsidRPr="001D39EA">
              <w:rPr>
                <w:rFonts w:ascii="Lato" w:hAnsi="Lato"/>
                <w:szCs w:val="22"/>
                <w:lang w:val="en-IE"/>
              </w:rPr>
              <w:t>es the Instrument of Incorporation</w:t>
            </w:r>
            <w:r w:rsidR="008F6559" w:rsidRPr="001D39EA">
              <w:rPr>
                <w:rFonts w:ascii="Lato" w:hAnsi="Lato"/>
                <w:szCs w:val="22"/>
                <w:lang w:val="en-IE"/>
              </w:rPr>
              <w:t xml:space="preserve"> </w:t>
            </w:r>
            <w:r w:rsidRPr="001D39EA">
              <w:rPr>
                <w:rFonts w:ascii="Lato" w:hAnsi="Lato"/>
                <w:szCs w:val="22"/>
                <w:lang w:val="en-IE"/>
              </w:rPr>
              <w:t xml:space="preserve">provide for </w:t>
            </w:r>
            <w:r w:rsidRPr="001D39EA">
              <w:rPr>
                <w:rFonts w:ascii="Lato" w:hAnsi="Lato"/>
                <w:szCs w:val="22"/>
                <w:u w:val="single"/>
                <w:lang w:val="en-IE"/>
              </w:rPr>
              <w:t>subscription in specie</w:t>
            </w:r>
            <w:r w:rsidR="00280232" w:rsidRPr="001D39EA">
              <w:rPr>
                <w:rFonts w:ascii="Lato" w:hAnsi="Lato"/>
                <w:szCs w:val="22"/>
                <w:u w:val="single"/>
                <w:lang w:val="en-IE"/>
              </w:rPr>
              <w:t>?</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F950B2" w:rsidRPr="001D39EA" w:rsidRDefault="00F950B2">
            <w:pPr>
              <w:spacing w:line="240" w:lineRule="auto"/>
              <w:rPr>
                <w:rFonts w:ascii="Lato" w:hAnsi="Lato"/>
                <w:szCs w:val="22"/>
                <w:lang w:val="en-IE"/>
              </w:rPr>
            </w:pPr>
          </w:p>
        </w:tc>
        <w:tc>
          <w:tcPr>
            <w:tcW w:w="9423" w:type="dxa"/>
            <w:gridSpan w:val="5"/>
            <w:tcBorders>
              <w:top w:val="nil"/>
              <w:left w:val="nil"/>
              <w:bottom w:val="nil"/>
              <w:right w:val="nil"/>
            </w:tcBorders>
          </w:tcPr>
          <w:p w:rsidR="00F950B2" w:rsidRPr="001D39EA" w:rsidRDefault="00F950B2" w:rsidP="00CD1251">
            <w:pPr>
              <w:spacing w:line="240" w:lineRule="auto"/>
              <w:jc w:val="both"/>
              <w:rPr>
                <w:rFonts w:ascii="Lato" w:hAnsi="Lato"/>
                <w:szCs w:val="22"/>
                <w:lang w:val="en-IE"/>
              </w:rPr>
            </w:pPr>
            <w:r w:rsidRPr="001D39EA">
              <w:rPr>
                <w:rFonts w:ascii="Lato" w:hAnsi="Lato"/>
                <w:szCs w:val="22"/>
                <w:lang w:val="en-IE"/>
              </w:rPr>
              <w:t>If yes</w:t>
            </w:r>
            <w:r w:rsidR="00CD1251" w:rsidRPr="001D39EA">
              <w:rPr>
                <w:rFonts w:ascii="Lato" w:hAnsi="Lato"/>
                <w:szCs w:val="22"/>
                <w:lang w:val="en-IE"/>
              </w:rPr>
              <w:t>, p</w:t>
            </w:r>
            <w:r w:rsidR="006A0501" w:rsidRPr="001D39EA">
              <w:rPr>
                <w:rFonts w:ascii="Lato" w:hAnsi="Lato"/>
                <w:szCs w:val="22"/>
                <w:lang w:val="en-IE"/>
              </w:rPr>
              <w:t>rovide that:</w:t>
            </w:r>
          </w:p>
        </w:tc>
        <w:tc>
          <w:tcPr>
            <w:tcW w:w="889" w:type="dxa"/>
            <w:gridSpan w:val="4"/>
            <w:tcBorders>
              <w:top w:val="nil"/>
              <w:left w:val="nil"/>
              <w:bottom w:val="single" w:sz="4" w:space="0" w:color="auto"/>
              <w:right w:val="nil"/>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3"/>
        </w:trPr>
        <w:tc>
          <w:tcPr>
            <w:tcW w:w="925" w:type="dxa"/>
            <w:vMerge w:val="restart"/>
            <w:tcBorders>
              <w:top w:val="nil"/>
              <w:left w:val="nil"/>
              <w:right w:val="nil"/>
            </w:tcBorders>
          </w:tcPr>
          <w:p w:rsidR="00F950B2" w:rsidRPr="001D39EA" w:rsidRDefault="00F950B2">
            <w:pPr>
              <w:spacing w:line="240" w:lineRule="auto"/>
              <w:jc w:val="right"/>
              <w:rPr>
                <w:rFonts w:ascii="Lato" w:hAnsi="Lato"/>
                <w:szCs w:val="22"/>
                <w:lang w:val="en-IE"/>
              </w:rPr>
            </w:pPr>
            <w:r w:rsidRPr="001D39EA">
              <w:rPr>
                <w:rFonts w:ascii="Lato" w:hAnsi="Lato"/>
                <w:szCs w:val="22"/>
                <w:lang w:val="en-IE"/>
              </w:rPr>
              <w:t>a)</w:t>
            </w:r>
          </w:p>
        </w:tc>
        <w:tc>
          <w:tcPr>
            <w:tcW w:w="9423" w:type="dxa"/>
            <w:gridSpan w:val="5"/>
            <w:vMerge w:val="restart"/>
            <w:tcBorders>
              <w:top w:val="nil"/>
              <w:left w:val="nil"/>
              <w:bottom w:val="nil"/>
              <w:right w:val="single" w:sz="4" w:space="0" w:color="auto"/>
            </w:tcBorders>
          </w:tcPr>
          <w:p w:rsidR="00F950B2" w:rsidRPr="001D39EA" w:rsidRDefault="00F950B2" w:rsidP="006A0501">
            <w:pPr>
              <w:spacing w:line="240" w:lineRule="auto"/>
              <w:jc w:val="both"/>
              <w:rPr>
                <w:rFonts w:ascii="Lato" w:hAnsi="Lato"/>
                <w:szCs w:val="22"/>
                <w:lang w:val="en-IE"/>
              </w:rPr>
            </w:pPr>
            <w:r w:rsidRPr="001D39EA">
              <w:rPr>
                <w:rFonts w:ascii="Lato" w:hAnsi="Lato"/>
                <w:szCs w:val="22"/>
                <w:lang w:val="en-IE"/>
              </w:rPr>
              <w:t xml:space="preserve">The </w:t>
            </w:r>
            <w:r w:rsidR="006A0501" w:rsidRPr="001D39EA">
              <w:rPr>
                <w:rFonts w:ascii="Lato" w:hAnsi="Lato"/>
                <w:szCs w:val="22"/>
                <w:lang w:val="en-IE"/>
              </w:rPr>
              <w:t xml:space="preserve">nature of </w:t>
            </w:r>
            <w:r w:rsidRPr="001D39EA">
              <w:rPr>
                <w:rFonts w:ascii="Lato" w:hAnsi="Lato"/>
                <w:szCs w:val="22"/>
                <w:lang w:val="en-IE"/>
              </w:rPr>
              <w:t xml:space="preserve">assets to be transferred into the </w:t>
            </w:r>
            <w:r w:rsidR="00F54A55" w:rsidRPr="001D39EA">
              <w:rPr>
                <w:rFonts w:ascii="Lato" w:hAnsi="Lato"/>
                <w:szCs w:val="22"/>
                <w:lang w:val="en-IE"/>
              </w:rPr>
              <w:t>Q</w:t>
            </w:r>
            <w:r w:rsidR="001A363E" w:rsidRPr="001D39EA">
              <w:rPr>
                <w:rFonts w:ascii="Lato" w:hAnsi="Lato"/>
                <w:szCs w:val="22"/>
                <w:lang w:val="en-IE"/>
              </w:rPr>
              <w:t xml:space="preserve">ualifying </w:t>
            </w:r>
            <w:r w:rsidR="00F54A55" w:rsidRPr="001D39EA">
              <w:rPr>
                <w:rFonts w:ascii="Lato" w:hAnsi="Lato"/>
                <w:szCs w:val="22"/>
                <w:lang w:val="en-IE"/>
              </w:rPr>
              <w:t>I</w:t>
            </w:r>
            <w:r w:rsidR="001A363E" w:rsidRPr="001D39EA">
              <w:rPr>
                <w:rFonts w:ascii="Lato" w:hAnsi="Lato"/>
                <w:szCs w:val="22"/>
                <w:lang w:val="en-IE"/>
              </w:rPr>
              <w:t xml:space="preserve">nvestor </w:t>
            </w:r>
            <w:r w:rsidR="00F54A55" w:rsidRPr="001D39EA">
              <w:rPr>
                <w:rFonts w:ascii="Lato" w:hAnsi="Lato"/>
                <w:szCs w:val="22"/>
                <w:lang w:val="en-IE"/>
              </w:rPr>
              <w:t>AIF</w:t>
            </w:r>
            <w:r w:rsidRPr="001D39EA">
              <w:rPr>
                <w:rFonts w:ascii="Lato" w:hAnsi="Lato"/>
                <w:szCs w:val="22"/>
                <w:lang w:val="en-IE"/>
              </w:rPr>
              <w:t xml:space="preserve"> would qualify as investments of the </w:t>
            </w:r>
            <w:r w:rsidR="00F54A55" w:rsidRPr="001D39EA">
              <w:rPr>
                <w:rFonts w:ascii="Lato" w:hAnsi="Lato"/>
                <w:szCs w:val="22"/>
                <w:lang w:val="en-IE"/>
              </w:rPr>
              <w:t>Q</w:t>
            </w:r>
            <w:r w:rsidR="001A363E" w:rsidRPr="001D39EA">
              <w:rPr>
                <w:rFonts w:ascii="Lato" w:hAnsi="Lato"/>
                <w:szCs w:val="22"/>
                <w:lang w:val="en-IE"/>
              </w:rPr>
              <w:t xml:space="preserve">ualifying </w:t>
            </w:r>
            <w:r w:rsidR="00F54A55" w:rsidRPr="001D39EA">
              <w:rPr>
                <w:rFonts w:ascii="Lato" w:hAnsi="Lato"/>
                <w:szCs w:val="22"/>
                <w:lang w:val="en-IE"/>
              </w:rPr>
              <w:t>I</w:t>
            </w:r>
            <w:r w:rsidR="001A363E" w:rsidRPr="001D39EA">
              <w:rPr>
                <w:rFonts w:ascii="Lato" w:hAnsi="Lato"/>
                <w:szCs w:val="22"/>
                <w:lang w:val="en-IE"/>
              </w:rPr>
              <w:t xml:space="preserve">nvestor </w:t>
            </w:r>
            <w:r w:rsidR="00F54A55" w:rsidRPr="001D39EA">
              <w:rPr>
                <w:rFonts w:ascii="Lato" w:hAnsi="Lato"/>
                <w:szCs w:val="22"/>
                <w:lang w:val="en-IE"/>
              </w:rPr>
              <w:t>AIF</w:t>
            </w:r>
            <w:r w:rsidRPr="001D39EA">
              <w:rPr>
                <w:rFonts w:ascii="Lato" w:hAnsi="Lato"/>
                <w:szCs w:val="22"/>
                <w:lang w:val="en-IE"/>
              </w:rPr>
              <w:t xml:space="preserve"> in accordance with the investment objectives, policies and restrictions </w:t>
            </w:r>
            <w:r w:rsidR="006A0501" w:rsidRPr="001D39EA">
              <w:rPr>
                <w:rFonts w:ascii="Lato" w:hAnsi="Lato"/>
                <w:szCs w:val="22"/>
                <w:lang w:val="en-IE"/>
              </w:rPr>
              <w:t>of the Q</w:t>
            </w:r>
            <w:r w:rsidR="001A363E" w:rsidRPr="001D39EA">
              <w:rPr>
                <w:rFonts w:ascii="Lato" w:hAnsi="Lato"/>
                <w:szCs w:val="22"/>
                <w:lang w:val="en-IE"/>
              </w:rPr>
              <w:t xml:space="preserve">ualifying </w:t>
            </w:r>
            <w:r w:rsidR="006A0501" w:rsidRPr="001D39EA">
              <w:rPr>
                <w:rFonts w:ascii="Lato" w:hAnsi="Lato"/>
                <w:szCs w:val="22"/>
                <w:lang w:val="en-IE"/>
              </w:rPr>
              <w:t>I</w:t>
            </w:r>
            <w:r w:rsidR="001A363E" w:rsidRPr="001D39EA">
              <w:rPr>
                <w:rFonts w:ascii="Lato" w:hAnsi="Lato"/>
                <w:szCs w:val="22"/>
                <w:lang w:val="en-IE"/>
              </w:rPr>
              <w:t xml:space="preserve">nvestor </w:t>
            </w:r>
            <w:r w:rsidR="006A0501" w:rsidRPr="001D39EA">
              <w:rPr>
                <w:rFonts w:ascii="Lato" w:hAnsi="Lato"/>
                <w:szCs w:val="22"/>
                <w:lang w:val="en-IE"/>
              </w:rPr>
              <w:t>AIF</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vMerge/>
            <w:tcBorders>
              <w:left w:val="nil"/>
              <w:right w:val="nil"/>
            </w:tcBorders>
          </w:tcPr>
          <w:p w:rsidR="00F950B2" w:rsidRPr="001D39EA" w:rsidRDefault="00F950B2">
            <w:pPr>
              <w:spacing w:line="240" w:lineRule="auto"/>
              <w:jc w:val="right"/>
              <w:rPr>
                <w:rFonts w:ascii="Lato" w:hAnsi="Lato"/>
                <w:szCs w:val="22"/>
                <w:lang w:val="en-IE"/>
              </w:rPr>
            </w:pPr>
          </w:p>
        </w:tc>
        <w:tc>
          <w:tcPr>
            <w:tcW w:w="9423" w:type="dxa"/>
            <w:gridSpan w:val="5"/>
            <w:vMerge/>
            <w:tcBorders>
              <w:top w:val="nil"/>
              <w:left w:val="nil"/>
              <w:bottom w:val="nil"/>
              <w:right w:val="nil"/>
            </w:tcBorders>
          </w:tcPr>
          <w:p w:rsidR="00F950B2" w:rsidRPr="001D39EA" w:rsidRDefault="00F950B2">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F950B2" w:rsidRPr="001D39EA" w:rsidRDefault="00F950B2">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vMerge/>
            <w:tcBorders>
              <w:left w:val="nil"/>
              <w:bottom w:val="nil"/>
              <w:right w:val="nil"/>
            </w:tcBorders>
          </w:tcPr>
          <w:p w:rsidR="001A363E" w:rsidRPr="001D39EA" w:rsidRDefault="001A363E">
            <w:pPr>
              <w:spacing w:line="240" w:lineRule="auto"/>
              <w:jc w:val="right"/>
              <w:rPr>
                <w:rFonts w:ascii="Lato" w:hAnsi="Lato"/>
                <w:szCs w:val="22"/>
                <w:lang w:val="en-IE"/>
              </w:rPr>
            </w:pPr>
          </w:p>
        </w:tc>
        <w:tc>
          <w:tcPr>
            <w:tcW w:w="9423" w:type="dxa"/>
            <w:gridSpan w:val="5"/>
            <w:vMerge/>
            <w:tcBorders>
              <w:top w:val="nil"/>
              <w:left w:val="nil"/>
              <w:bottom w:val="nil"/>
              <w:right w:val="nil"/>
            </w:tcBorders>
          </w:tcPr>
          <w:p w:rsidR="001A363E" w:rsidRPr="001D39EA" w:rsidRDefault="001A363E">
            <w:pPr>
              <w:spacing w:line="240" w:lineRule="auto"/>
              <w:jc w:val="both"/>
              <w:rPr>
                <w:rFonts w:ascii="Lato" w:hAnsi="Lato"/>
                <w:szCs w:val="22"/>
                <w:lang w:val="en-IE"/>
              </w:rPr>
            </w:pPr>
          </w:p>
        </w:tc>
        <w:tc>
          <w:tcPr>
            <w:tcW w:w="889" w:type="dxa"/>
            <w:gridSpan w:val="4"/>
            <w:tcBorders>
              <w:top w:val="nil"/>
              <w:left w:val="nil"/>
              <w:bottom w:val="nil"/>
              <w:right w:val="nil"/>
            </w:tcBorders>
          </w:tcPr>
          <w:p w:rsidR="001A363E" w:rsidRPr="001D39EA" w:rsidRDefault="001A363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CD1251" w:rsidRPr="001D39EA" w:rsidRDefault="00CD1251">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nil"/>
            </w:tcBorders>
          </w:tcPr>
          <w:p w:rsidR="00CD1251" w:rsidRPr="001D39EA" w:rsidRDefault="00CD1251">
            <w:pPr>
              <w:spacing w:line="240" w:lineRule="auto"/>
              <w:jc w:val="both"/>
              <w:rPr>
                <w:rFonts w:ascii="Lato" w:hAnsi="Lato"/>
                <w:szCs w:val="22"/>
                <w:lang w:val="en-IE"/>
              </w:rPr>
            </w:pPr>
            <w:r w:rsidRPr="001D39EA">
              <w:rPr>
                <w:rFonts w:ascii="Lato" w:hAnsi="Lato"/>
                <w:szCs w:val="22"/>
                <w:lang w:val="en-IE"/>
              </w:rPr>
              <w:t>Assets to be transferred:</w:t>
            </w:r>
          </w:p>
        </w:tc>
        <w:tc>
          <w:tcPr>
            <w:tcW w:w="889" w:type="dxa"/>
            <w:gridSpan w:val="4"/>
            <w:tcBorders>
              <w:top w:val="nil"/>
              <w:left w:val="nil"/>
              <w:bottom w:val="single" w:sz="4" w:space="0" w:color="auto"/>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CD1251" w:rsidRPr="001D39EA" w:rsidRDefault="00CD1251">
            <w:pPr>
              <w:spacing w:line="240" w:lineRule="auto"/>
              <w:jc w:val="right"/>
              <w:rPr>
                <w:rFonts w:ascii="Lato" w:hAnsi="Lato"/>
                <w:szCs w:val="22"/>
                <w:lang w:val="en-IE"/>
              </w:rPr>
            </w:pPr>
            <w:r w:rsidRPr="001D39EA">
              <w:rPr>
                <w:rFonts w:ascii="Lato" w:hAnsi="Lato"/>
                <w:szCs w:val="22"/>
                <w:lang w:val="en-IE"/>
              </w:rPr>
              <w:t xml:space="preserve"> (i)</w:t>
            </w:r>
          </w:p>
        </w:tc>
        <w:tc>
          <w:tcPr>
            <w:tcW w:w="9423" w:type="dxa"/>
            <w:gridSpan w:val="5"/>
            <w:tcBorders>
              <w:top w:val="nil"/>
              <w:left w:val="nil"/>
              <w:bottom w:val="nil"/>
              <w:right w:val="single" w:sz="4" w:space="0" w:color="auto"/>
            </w:tcBorders>
          </w:tcPr>
          <w:p w:rsidR="00CD1251" w:rsidRPr="001D39EA" w:rsidRDefault="00CD1251" w:rsidP="007B0B80">
            <w:pPr>
              <w:spacing w:line="240" w:lineRule="auto"/>
              <w:jc w:val="both"/>
              <w:rPr>
                <w:rFonts w:ascii="Lato" w:hAnsi="Lato"/>
                <w:szCs w:val="22"/>
                <w:lang w:val="en-IE"/>
              </w:rPr>
            </w:pPr>
            <w:r w:rsidRPr="001D39EA">
              <w:rPr>
                <w:rFonts w:ascii="Lato" w:hAnsi="Lato"/>
                <w:szCs w:val="22"/>
                <w:lang w:val="en-IE"/>
              </w:rPr>
              <w:t>must be vested with the depositary;</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CD1251" w:rsidRPr="001D39EA" w:rsidRDefault="00CD1251">
            <w:pPr>
              <w:spacing w:line="240" w:lineRule="auto"/>
              <w:jc w:val="right"/>
              <w:rPr>
                <w:rFonts w:ascii="Lato" w:hAnsi="Lato"/>
                <w:szCs w:val="22"/>
                <w:lang w:val="en-IE"/>
              </w:rPr>
            </w:pPr>
          </w:p>
        </w:tc>
        <w:tc>
          <w:tcPr>
            <w:tcW w:w="9423" w:type="dxa"/>
            <w:gridSpan w:val="5"/>
            <w:tcBorders>
              <w:top w:val="nil"/>
              <w:left w:val="nil"/>
              <w:bottom w:val="nil"/>
              <w:right w:val="nil"/>
            </w:tcBorders>
          </w:tcPr>
          <w:p w:rsidR="00CD1251" w:rsidRPr="001D39EA" w:rsidRDefault="00CD1251">
            <w:pPr>
              <w:spacing w:line="240" w:lineRule="auto"/>
              <w:jc w:val="both"/>
              <w:rPr>
                <w:rFonts w:ascii="Lato" w:hAnsi="Lato"/>
                <w:szCs w:val="22"/>
                <w:lang w:val="en-IE"/>
              </w:rPr>
            </w:pPr>
            <w:r w:rsidRPr="001D39EA">
              <w:rPr>
                <w:rFonts w:ascii="Lato" w:hAnsi="Lato"/>
                <w:szCs w:val="22"/>
                <w:lang w:val="en-IE"/>
              </w:rPr>
              <w:t>or</w:t>
            </w:r>
          </w:p>
        </w:tc>
        <w:tc>
          <w:tcPr>
            <w:tcW w:w="889" w:type="dxa"/>
            <w:gridSpan w:val="4"/>
            <w:tcBorders>
              <w:top w:val="single" w:sz="4" w:space="0" w:color="auto"/>
              <w:left w:val="nil"/>
              <w:bottom w:val="single" w:sz="4" w:space="0" w:color="auto"/>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CD1251" w:rsidRPr="001D39EA" w:rsidRDefault="00CD1251">
            <w:pPr>
              <w:spacing w:line="240" w:lineRule="auto"/>
              <w:jc w:val="right"/>
              <w:rPr>
                <w:rFonts w:ascii="Lato" w:hAnsi="Lato"/>
                <w:szCs w:val="22"/>
                <w:lang w:val="en-IE"/>
              </w:rPr>
            </w:pPr>
            <w:r w:rsidRPr="001D39EA">
              <w:rPr>
                <w:rFonts w:ascii="Lato" w:hAnsi="Lato"/>
                <w:szCs w:val="22"/>
                <w:lang w:val="en-IE"/>
              </w:rPr>
              <w:t>(ii)</w:t>
            </w:r>
          </w:p>
        </w:tc>
        <w:tc>
          <w:tcPr>
            <w:tcW w:w="9423" w:type="dxa"/>
            <w:gridSpan w:val="5"/>
            <w:tcBorders>
              <w:top w:val="nil"/>
              <w:left w:val="nil"/>
              <w:bottom w:val="nil"/>
              <w:right w:val="single" w:sz="4" w:space="0" w:color="auto"/>
            </w:tcBorders>
          </w:tcPr>
          <w:p w:rsidR="00CD1251" w:rsidRPr="001D39EA" w:rsidRDefault="00CD1251">
            <w:pPr>
              <w:spacing w:line="240" w:lineRule="auto"/>
              <w:jc w:val="both"/>
              <w:rPr>
                <w:rFonts w:ascii="Lato" w:hAnsi="Lato"/>
                <w:szCs w:val="22"/>
                <w:lang w:val="en-IE"/>
              </w:rPr>
            </w:pPr>
            <w:r w:rsidRPr="001D39EA">
              <w:rPr>
                <w:rFonts w:ascii="Lato" w:hAnsi="Lato"/>
                <w:szCs w:val="22"/>
                <w:lang w:val="en-IE"/>
              </w:rPr>
              <w:t>arrangements are made to vest the assets with the depositary</w:t>
            </w:r>
            <w:r w:rsidR="00587913" w:rsidRPr="001D39EA">
              <w:rPr>
                <w:rFonts w:ascii="Lato" w:hAnsi="Lato"/>
                <w:szCs w:val="22"/>
                <w:lang w:val="en-IE"/>
              </w:rPr>
              <w:t>.</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CD1251" w:rsidRPr="001D39EA" w:rsidRDefault="00CD1251">
            <w:pPr>
              <w:spacing w:line="240" w:lineRule="auto"/>
              <w:rPr>
                <w:rFonts w:ascii="Lato" w:hAnsi="Lato"/>
                <w:szCs w:val="22"/>
                <w:lang w:val="en-IE"/>
              </w:rPr>
            </w:pPr>
            <w:r w:rsidRPr="001D39EA">
              <w:rPr>
                <w:rFonts w:ascii="Lato" w:hAnsi="Lato"/>
                <w:szCs w:val="22"/>
                <w:lang w:val="en-IE"/>
              </w:rPr>
              <w:t xml:space="preserve">    </w:t>
            </w:r>
          </w:p>
        </w:tc>
        <w:tc>
          <w:tcPr>
            <w:tcW w:w="9423" w:type="dxa"/>
            <w:gridSpan w:val="5"/>
            <w:tcBorders>
              <w:top w:val="nil"/>
              <w:left w:val="nil"/>
              <w:bottom w:val="nil"/>
              <w:right w:val="nil"/>
            </w:tcBorders>
          </w:tcPr>
          <w:p w:rsidR="00CD1251" w:rsidRPr="001D39EA" w:rsidRDefault="00CD1251">
            <w:pPr>
              <w:spacing w:line="240" w:lineRule="auto"/>
              <w:jc w:val="both"/>
              <w:rPr>
                <w:rFonts w:ascii="Lato" w:hAnsi="Lato"/>
                <w:szCs w:val="22"/>
                <w:lang w:val="en-IE"/>
              </w:rPr>
            </w:pPr>
          </w:p>
        </w:tc>
        <w:tc>
          <w:tcPr>
            <w:tcW w:w="889" w:type="dxa"/>
            <w:gridSpan w:val="4"/>
            <w:tcBorders>
              <w:top w:val="single" w:sz="4" w:space="0" w:color="auto"/>
              <w:left w:val="nil"/>
              <w:bottom w:val="single" w:sz="4" w:space="0" w:color="auto"/>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5"/>
        </w:trPr>
        <w:tc>
          <w:tcPr>
            <w:tcW w:w="925" w:type="dxa"/>
            <w:vMerge w:val="restart"/>
            <w:tcBorders>
              <w:top w:val="nil"/>
              <w:left w:val="nil"/>
              <w:right w:val="nil"/>
            </w:tcBorders>
          </w:tcPr>
          <w:p w:rsidR="00CD1251" w:rsidRPr="001D39EA" w:rsidRDefault="00CD1251">
            <w:pPr>
              <w:spacing w:line="240" w:lineRule="auto"/>
              <w:jc w:val="right"/>
              <w:rPr>
                <w:rFonts w:ascii="Lato" w:hAnsi="Lato"/>
                <w:szCs w:val="22"/>
                <w:lang w:val="en-IE"/>
              </w:rPr>
            </w:pPr>
            <w:r w:rsidRPr="001D39EA">
              <w:rPr>
                <w:rFonts w:ascii="Lato" w:hAnsi="Lato"/>
                <w:szCs w:val="22"/>
                <w:lang w:val="en-IE"/>
              </w:rPr>
              <w:t>c)</w:t>
            </w:r>
          </w:p>
        </w:tc>
        <w:tc>
          <w:tcPr>
            <w:tcW w:w="9423" w:type="dxa"/>
            <w:gridSpan w:val="5"/>
            <w:vMerge w:val="restart"/>
            <w:tcBorders>
              <w:top w:val="nil"/>
              <w:left w:val="nil"/>
              <w:right w:val="single" w:sz="4" w:space="0" w:color="auto"/>
            </w:tcBorders>
          </w:tcPr>
          <w:p w:rsidR="00CD1251" w:rsidRPr="001D39EA" w:rsidRDefault="00CD1251">
            <w:pPr>
              <w:spacing w:line="240" w:lineRule="auto"/>
              <w:jc w:val="both"/>
              <w:rPr>
                <w:rFonts w:ascii="Lato" w:hAnsi="Lato"/>
                <w:szCs w:val="22"/>
                <w:lang w:val="en-IE"/>
              </w:rPr>
            </w:pPr>
            <w:r w:rsidRPr="001D39EA">
              <w:rPr>
                <w:rFonts w:ascii="Lato" w:hAnsi="Lato"/>
                <w:szCs w:val="22"/>
                <w:lang w:val="en-IE"/>
              </w:rPr>
              <w:t>The number of shares to be issued must not exceed the amount that would be issued for the cash equivalent; and</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vMerge/>
            <w:tcBorders>
              <w:left w:val="nil"/>
              <w:bottom w:val="nil"/>
              <w:right w:val="nil"/>
            </w:tcBorders>
          </w:tcPr>
          <w:p w:rsidR="00CD1251" w:rsidRPr="001D39EA" w:rsidRDefault="00CD1251">
            <w:pPr>
              <w:spacing w:line="240" w:lineRule="auto"/>
              <w:rPr>
                <w:rFonts w:ascii="Lato" w:hAnsi="Lato"/>
                <w:szCs w:val="22"/>
                <w:lang w:val="en-IE"/>
              </w:rPr>
            </w:pPr>
          </w:p>
        </w:tc>
        <w:tc>
          <w:tcPr>
            <w:tcW w:w="9423" w:type="dxa"/>
            <w:gridSpan w:val="5"/>
            <w:vMerge/>
            <w:tcBorders>
              <w:left w:val="nil"/>
              <w:bottom w:val="nil"/>
              <w:right w:val="nil"/>
            </w:tcBorders>
          </w:tcPr>
          <w:p w:rsidR="00CD1251" w:rsidRPr="001D39EA" w:rsidRDefault="00CD1251">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5"/>
        </w:trPr>
        <w:tc>
          <w:tcPr>
            <w:tcW w:w="925" w:type="dxa"/>
            <w:vMerge w:val="restart"/>
            <w:tcBorders>
              <w:top w:val="nil"/>
              <w:left w:val="nil"/>
              <w:right w:val="nil"/>
            </w:tcBorders>
          </w:tcPr>
          <w:p w:rsidR="00CD1251" w:rsidRPr="001D39EA" w:rsidRDefault="00CD1251">
            <w:pPr>
              <w:spacing w:line="240" w:lineRule="auto"/>
              <w:jc w:val="right"/>
              <w:rPr>
                <w:rFonts w:ascii="Lato" w:hAnsi="Lato"/>
                <w:szCs w:val="22"/>
                <w:lang w:val="en-IE"/>
              </w:rPr>
            </w:pPr>
            <w:r w:rsidRPr="001D39EA">
              <w:rPr>
                <w:rFonts w:ascii="Lato" w:hAnsi="Lato"/>
                <w:szCs w:val="22"/>
                <w:lang w:val="en-IE"/>
              </w:rPr>
              <w:t>d) (i)</w:t>
            </w:r>
          </w:p>
        </w:tc>
        <w:tc>
          <w:tcPr>
            <w:tcW w:w="9423" w:type="dxa"/>
            <w:gridSpan w:val="5"/>
            <w:vMerge w:val="restart"/>
            <w:tcBorders>
              <w:top w:val="nil"/>
              <w:left w:val="nil"/>
              <w:right w:val="single" w:sz="4" w:space="0" w:color="auto"/>
            </w:tcBorders>
          </w:tcPr>
          <w:p w:rsidR="00CD1251" w:rsidRPr="001D39EA" w:rsidRDefault="00CD1251" w:rsidP="00811585">
            <w:pPr>
              <w:spacing w:line="240" w:lineRule="auto"/>
              <w:jc w:val="both"/>
              <w:rPr>
                <w:rFonts w:ascii="Lato" w:hAnsi="Lato"/>
                <w:szCs w:val="22"/>
                <w:lang w:val="en-IE"/>
              </w:rPr>
            </w:pPr>
            <w:r w:rsidRPr="001D39EA">
              <w:rPr>
                <w:rFonts w:ascii="Lato" w:hAnsi="Lato"/>
                <w:szCs w:val="22"/>
                <w:lang w:val="en-IE"/>
              </w:rPr>
              <w:t xml:space="preserve">The depositary is satisfied that the terms of any exchange will not be such as are likely to result in any material prejudice to the existing shareholders of the </w:t>
            </w:r>
            <w:r w:rsidR="00811585" w:rsidRPr="001D39EA">
              <w:rPr>
                <w:rFonts w:ascii="Lato" w:hAnsi="Lato"/>
                <w:szCs w:val="22"/>
                <w:lang w:val="en-IE"/>
              </w:rPr>
              <w:t>Qualifying Investor</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vMerge/>
            <w:tcBorders>
              <w:left w:val="nil"/>
              <w:bottom w:val="nil"/>
              <w:right w:val="nil"/>
            </w:tcBorders>
          </w:tcPr>
          <w:p w:rsidR="00CD1251" w:rsidRPr="001D39EA" w:rsidRDefault="00CD1251">
            <w:pPr>
              <w:spacing w:line="240" w:lineRule="auto"/>
              <w:jc w:val="right"/>
              <w:rPr>
                <w:rFonts w:ascii="Lato" w:hAnsi="Lato"/>
                <w:szCs w:val="22"/>
                <w:lang w:val="en-IE"/>
              </w:rPr>
            </w:pPr>
          </w:p>
        </w:tc>
        <w:tc>
          <w:tcPr>
            <w:tcW w:w="9423" w:type="dxa"/>
            <w:gridSpan w:val="5"/>
            <w:vMerge/>
            <w:tcBorders>
              <w:left w:val="nil"/>
              <w:bottom w:val="nil"/>
              <w:right w:val="nil"/>
            </w:tcBorders>
          </w:tcPr>
          <w:p w:rsidR="00CD1251" w:rsidRPr="001D39EA" w:rsidRDefault="00CD1251">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811585" w:rsidRPr="001D39EA" w:rsidRDefault="00811585">
            <w:pPr>
              <w:spacing w:line="240" w:lineRule="auto"/>
              <w:jc w:val="right"/>
              <w:rPr>
                <w:rFonts w:ascii="Lato" w:hAnsi="Lato"/>
                <w:szCs w:val="22"/>
                <w:lang w:val="en-IE"/>
              </w:rPr>
            </w:pPr>
          </w:p>
        </w:tc>
        <w:tc>
          <w:tcPr>
            <w:tcW w:w="9423" w:type="dxa"/>
            <w:gridSpan w:val="5"/>
            <w:tcBorders>
              <w:top w:val="nil"/>
              <w:left w:val="nil"/>
              <w:bottom w:val="nil"/>
              <w:right w:val="nil"/>
            </w:tcBorders>
          </w:tcPr>
          <w:p w:rsidR="00811585" w:rsidRPr="001D39EA" w:rsidRDefault="00811585">
            <w:pPr>
              <w:spacing w:line="240" w:lineRule="auto"/>
              <w:jc w:val="both"/>
              <w:rPr>
                <w:rFonts w:ascii="Lato" w:hAnsi="Lato"/>
                <w:szCs w:val="22"/>
                <w:lang w:val="en-IE"/>
              </w:rPr>
            </w:pPr>
            <w:r w:rsidRPr="001D39EA">
              <w:rPr>
                <w:rFonts w:ascii="Lato" w:hAnsi="Lato"/>
                <w:szCs w:val="22"/>
                <w:lang w:val="en-IE"/>
              </w:rPr>
              <w:t>AIF</w:t>
            </w:r>
          </w:p>
        </w:tc>
        <w:tc>
          <w:tcPr>
            <w:tcW w:w="889" w:type="dxa"/>
            <w:gridSpan w:val="4"/>
            <w:tcBorders>
              <w:top w:val="nil"/>
              <w:left w:val="nil"/>
              <w:bottom w:val="nil"/>
              <w:right w:val="nil"/>
            </w:tcBorders>
          </w:tcPr>
          <w:p w:rsidR="00811585" w:rsidRPr="001D39EA" w:rsidRDefault="00811585">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CD1251" w:rsidRPr="001D39EA" w:rsidRDefault="00CD1251">
            <w:pPr>
              <w:spacing w:line="240" w:lineRule="auto"/>
              <w:jc w:val="right"/>
              <w:rPr>
                <w:rFonts w:ascii="Lato" w:hAnsi="Lato"/>
                <w:szCs w:val="22"/>
                <w:lang w:val="en-IE"/>
              </w:rPr>
            </w:pPr>
          </w:p>
        </w:tc>
        <w:tc>
          <w:tcPr>
            <w:tcW w:w="9423" w:type="dxa"/>
            <w:gridSpan w:val="5"/>
            <w:tcBorders>
              <w:top w:val="nil"/>
              <w:left w:val="nil"/>
              <w:bottom w:val="nil"/>
              <w:right w:val="nil"/>
            </w:tcBorders>
          </w:tcPr>
          <w:p w:rsidR="00CD1251" w:rsidRPr="001D39EA" w:rsidRDefault="00CD1251">
            <w:pPr>
              <w:spacing w:line="240" w:lineRule="auto"/>
              <w:jc w:val="both"/>
              <w:rPr>
                <w:rFonts w:ascii="Lato" w:hAnsi="Lato"/>
                <w:szCs w:val="22"/>
                <w:lang w:val="en-IE"/>
              </w:rPr>
            </w:pPr>
            <w:r w:rsidRPr="001D39EA">
              <w:rPr>
                <w:rFonts w:ascii="Lato" w:hAnsi="Lato"/>
                <w:szCs w:val="22"/>
                <w:lang w:val="en-IE"/>
              </w:rPr>
              <w:t>or</w:t>
            </w:r>
          </w:p>
        </w:tc>
        <w:tc>
          <w:tcPr>
            <w:tcW w:w="889" w:type="dxa"/>
            <w:gridSpan w:val="4"/>
            <w:tcBorders>
              <w:top w:val="nil"/>
              <w:left w:val="nil"/>
              <w:bottom w:val="single" w:sz="4" w:space="0" w:color="auto"/>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5"/>
        </w:trPr>
        <w:tc>
          <w:tcPr>
            <w:tcW w:w="925" w:type="dxa"/>
            <w:vMerge w:val="restart"/>
            <w:tcBorders>
              <w:top w:val="nil"/>
              <w:left w:val="nil"/>
              <w:right w:val="nil"/>
            </w:tcBorders>
          </w:tcPr>
          <w:p w:rsidR="00CD1251" w:rsidRPr="001D39EA" w:rsidRDefault="00CD1251">
            <w:pPr>
              <w:spacing w:line="240" w:lineRule="auto"/>
              <w:jc w:val="right"/>
              <w:rPr>
                <w:rFonts w:ascii="Lato" w:hAnsi="Lato"/>
                <w:szCs w:val="22"/>
                <w:lang w:val="en-IE"/>
              </w:rPr>
            </w:pPr>
            <w:r w:rsidRPr="001D39EA">
              <w:rPr>
                <w:rFonts w:ascii="Lato" w:hAnsi="Lato"/>
                <w:szCs w:val="22"/>
                <w:lang w:val="en-IE"/>
              </w:rPr>
              <w:t xml:space="preserve">      (ii)</w:t>
            </w:r>
          </w:p>
        </w:tc>
        <w:tc>
          <w:tcPr>
            <w:tcW w:w="9423" w:type="dxa"/>
            <w:gridSpan w:val="5"/>
            <w:vMerge w:val="restart"/>
            <w:tcBorders>
              <w:top w:val="nil"/>
              <w:left w:val="nil"/>
              <w:right w:val="single" w:sz="4" w:space="0" w:color="auto"/>
            </w:tcBorders>
          </w:tcPr>
          <w:p w:rsidR="00CD1251" w:rsidRPr="001D39EA" w:rsidRDefault="00CD1251">
            <w:pPr>
              <w:spacing w:line="240" w:lineRule="auto"/>
              <w:jc w:val="both"/>
              <w:rPr>
                <w:rFonts w:ascii="Lato" w:hAnsi="Lato"/>
                <w:szCs w:val="22"/>
                <w:lang w:val="en-IE"/>
              </w:rPr>
            </w:pPr>
            <w:r w:rsidRPr="001D39EA">
              <w:rPr>
                <w:rFonts w:ascii="Lato" w:hAnsi="Lato"/>
                <w:szCs w:val="22"/>
                <w:lang w:val="en-IE"/>
              </w:rPr>
              <w:t>The depositary is satisfied that there is unlikely to be any material prejudice to the existing shareholders of the Q</w:t>
            </w:r>
            <w:r w:rsidR="00272FBC" w:rsidRPr="001D39EA">
              <w:rPr>
                <w:rFonts w:ascii="Lato" w:hAnsi="Lato"/>
                <w:szCs w:val="22"/>
                <w:lang w:val="en-IE"/>
              </w:rPr>
              <w:t xml:space="preserve">ualifying </w:t>
            </w:r>
            <w:r w:rsidRPr="001D39EA">
              <w:rPr>
                <w:rFonts w:ascii="Lato" w:hAnsi="Lato"/>
                <w:szCs w:val="22"/>
                <w:lang w:val="en-IE"/>
              </w:rPr>
              <w:t>I</w:t>
            </w:r>
            <w:r w:rsidR="00272FBC" w:rsidRPr="001D39EA">
              <w:rPr>
                <w:rFonts w:ascii="Lato" w:hAnsi="Lato"/>
                <w:szCs w:val="22"/>
                <w:lang w:val="en-IE"/>
              </w:rPr>
              <w:t xml:space="preserve">nvestor </w:t>
            </w:r>
            <w:r w:rsidRPr="001D39EA">
              <w:rPr>
                <w:rFonts w:ascii="Lato" w:hAnsi="Lato"/>
                <w:szCs w:val="22"/>
                <w:lang w:val="en-IE"/>
              </w:rPr>
              <w:t>AIF</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vMerge/>
            <w:tcBorders>
              <w:left w:val="nil"/>
              <w:bottom w:val="nil"/>
              <w:right w:val="nil"/>
            </w:tcBorders>
          </w:tcPr>
          <w:p w:rsidR="00CD1251" w:rsidRPr="001D39EA" w:rsidRDefault="00CD1251">
            <w:pPr>
              <w:spacing w:line="240" w:lineRule="auto"/>
              <w:rPr>
                <w:rFonts w:ascii="Lato" w:hAnsi="Lato"/>
                <w:szCs w:val="22"/>
                <w:lang w:val="en-IE"/>
              </w:rPr>
            </w:pPr>
          </w:p>
        </w:tc>
        <w:tc>
          <w:tcPr>
            <w:tcW w:w="9423" w:type="dxa"/>
            <w:gridSpan w:val="5"/>
            <w:vMerge/>
            <w:tcBorders>
              <w:left w:val="nil"/>
              <w:bottom w:val="nil"/>
              <w:right w:val="nil"/>
            </w:tcBorders>
          </w:tcPr>
          <w:p w:rsidR="00CD1251" w:rsidRPr="001D39EA" w:rsidRDefault="00CD1251">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CD1251" w:rsidRPr="001D39EA" w:rsidRDefault="00CD1251">
            <w:pPr>
              <w:spacing w:line="240" w:lineRule="auto"/>
              <w:rPr>
                <w:rFonts w:ascii="Lato" w:hAnsi="Lato"/>
                <w:szCs w:val="22"/>
                <w:lang w:val="en-IE"/>
              </w:rPr>
            </w:pPr>
          </w:p>
        </w:tc>
        <w:tc>
          <w:tcPr>
            <w:tcW w:w="9423" w:type="dxa"/>
            <w:gridSpan w:val="5"/>
            <w:tcBorders>
              <w:top w:val="nil"/>
              <w:left w:val="nil"/>
              <w:bottom w:val="nil"/>
              <w:right w:val="nil"/>
            </w:tcBorders>
          </w:tcPr>
          <w:p w:rsidR="00CD1251" w:rsidRPr="001D39EA" w:rsidRDefault="00CD1251">
            <w:pPr>
              <w:spacing w:line="240" w:lineRule="auto"/>
              <w:jc w:val="both"/>
              <w:rPr>
                <w:rFonts w:ascii="Lato" w:hAnsi="Lato"/>
                <w:szCs w:val="22"/>
                <w:lang w:val="en-IE"/>
              </w:rPr>
            </w:pPr>
          </w:p>
        </w:tc>
        <w:tc>
          <w:tcPr>
            <w:tcW w:w="889" w:type="dxa"/>
            <w:gridSpan w:val="4"/>
            <w:tcBorders>
              <w:top w:val="nil"/>
              <w:left w:val="nil"/>
              <w:bottom w:val="nil"/>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CD1251" w:rsidRPr="001D39EA" w:rsidRDefault="00CD1251" w:rsidP="00791B15">
            <w:pPr>
              <w:spacing w:line="240" w:lineRule="auto"/>
              <w:rPr>
                <w:rFonts w:ascii="Lato" w:hAnsi="Lato"/>
                <w:szCs w:val="22"/>
                <w:lang w:val="en-IE"/>
              </w:rPr>
            </w:pPr>
            <w:r w:rsidRPr="001D39EA">
              <w:rPr>
                <w:rFonts w:ascii="Lato" w:hAnsi="Lato"/>
                <w:szCs w:val="22"/>
                <w:lang w:val="en-IE"/>
              </w:rPr>
              <w:t>3.3.</w:t>
            </w:r>
            <w:r w:rsidR="00791B15" w:rsidRPr="001D39EA">
              <w:rPr>
                <w:rFonts w:ascii="Lato" w:hAnsi="Lato"/>
                <w:szCs w:val="22"/>
                <w:lang w:val="en-IE"/>
              </w:rPr>
              <w:t>8</w:t>
            </w:r>
          </w:p>
        </w:tc>
        <w:tc>
          <w:tcPr>
            <w:tcW w:w="9423" w:type="dxa"/>
            <w:gridSpan w:val="5"/>
            <w:tcBorders>
              <w:top w:val="nil"/>
              <w:left w:val="nil"/>
              <w:bottom w:val="nil"/>
              <w:right w:val="nil"/>
            </w:tcBorders>
          </w:tcPr>
          <w:p w:rsidR="00CD1251" w:rsidRPr="001D39EA" w:rsidRDefault="00CD1251">
            <w:pPr>
              <w:spacing w:line="240" w:lineRule="auto"/>
              <w:jc w:val="both"/>
              <w:rPr>
                <w:rFonts w:ascii="Lato" w:hAnsi="Lato"/>
                <w:szCs w:val="22"/>
                <w:lang w:val="en-IE"/>
              </w:rPr>
            </w:pPr>
            <w:r w:rsidRPr="001D39EA">
              <w:rPr>
                <w:rFonts w:ascii="Lato" w:hAnsi="Lato"/>
                <w:szCs w:val="22"/>
                <w:lang w:val="en-IE"/>
              </w:rPr>
              <w:t>Preferential Treatment</w:t>
            </w:r>
          </w:p>
        </w:tc>
        <w:tc>
          <w:tcPr>
            <w:tcW w:w="889" w:type="dxa"/>
            <w:gridSpan w:val="4"/>
            <w:tcBorders>
              <w:top w:val="nil"/>
              <w:left w:val="nil"/>
              <w:bottom w:val="single" w:sz="4" w:space="0" w:color="auto"/>
              <w:right w:val="nil"/>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CD1251" w:rsidRPr="001D39EA" w:rsidRDefault="004A747B" w:rsidP="004A747B">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CD1251" w:rsidRPr="001D39EA" w:rsidRDefault="00CD1251" w:rsidP="007C5AFE">
            <w:pPr>
              <w:spacing w:line="240" w:lineRule="auto"/>
              <w:jc w:val="both"/>
              <w:rPr>
                <w:rFonts w:ascii="Lato" w:hAnsi="Lato"/>
                <w:szCs w:val="22"/>
                <w:lang w:val="en-IE"/>
              </w:rPr>
            </w:pPr>
            <w:r w:rsidRPr="001D39EA">
              <w:rPr>
                <w:rFonts w:ascii="Lato" w:hAnsi="Lato"/>
                <w:szCs w:val="22"/>
                <w:lang w:val="en-IE"/>
              </w:rPr>
              <w:t>Disclose any preferential treatment which unitholder</w:t>
            </w:r>
            <w:r w:rsidR="006F7480" w:rsidRPr="001D39EA">
              <w:rPr>
                <w:rFonts w:ascii="Lato" w:hAnsi="Lato"/>
                <w:szCs w:val="22"/>
                <w:lang w:val="en-IE"/>
              </w:rPr>
              <w:t>s</w:t>
            </w:r>
            <w:r w:rsidRPr="001D39EA">
              <w:rPr>
                <w:rFonts w:ascii="Lato" w:hAnsi="Lato"/>
                <w:szCs w:val="22"/>
                <w:lang w:val="en-IE"/>
              </w:rPr>
              <w:t xml:space="preserve"> in the Q</w:t>
            </w:r>
            <w:r w:rsidR="00272FBC" w:rsidRPr="001D39EA">
              <w:rPr>
                <w:rFonts w:ascii="Lato" w:hAnsi="Lato"/>
                <w:szCs w:val="22"/>
                <w:lang w:val="en-IE"/>
              </w:rPr>
              <w:t xml:space="preserve">ualifying </w:t>
            </w:r>
            <w:r w:rsidRPr="001D39EA">
              <w:rPr>
                <w:rFonts w:ascii="Lato" w:hAnsi="Lato"/>
                <w:szCs w:val="22"/>
                <w:lang w:val="en-IE"/>
              </w:rPr>
              <w:t>I</w:t>
            </w:r>
            <w:r w:rsidR="00272FBC" w:rsidRPr="001D39EA">
              <w:rPr>
                <w:rFonts w:ascii="Lato" w:hAnsi="Lato"/>
                <w:szCs w:val="22"/>
                <w:lang w:val="en-IE"/>
              </w:rPr>
              <w:t>nvestor</w:t>
            </w:r>
            <w:r w:rsidR="00855310" w:rsidRPr="001D39EA">
              <w:rPr>
                <w:rFonts w:ascii="Lato" w:hAnsi="Lato"/>
                <w:szCs w:val="22"/>
                <w:lang w:val="en-IE"/>
              </w:rPr>
              <w:t xml:space="preserve"> </w:t>
            </w:r>
            <w:r w:rsidRPr="001D39EA">
              <w:rPr>
                <w:rFonts w:ascii="Lato" w:hAnsi="Lato"/>
                <w:szCs w:val="22"/>
                <w:lang w:val="en-IE"/>
              </w:rPr>
              <w:t xml:space="preserve">AIF may </w:t>
            </w:r>
            <w:r w:rsidR="004A747B" w:rsidRPr="001D39EA">
              <w:rPr>
                <w:rFonts w:ascii="Lato" w:hAnsi="Lato"/>
                <w:szCs w:val="22"/>
                <w:lang w:val="en-IE"/>
              </w:rPr>
              <w:t>obtain</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1D39EA" w:rsidRDefault="00CD1251">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4A747B">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6F7480">
            <w:pPr>
              <w:spacing w:line="240" w:lineRule="auto"/>
              <w:jc w:val="both"/>
              <w:rPr>
                <w:rFonts w:ascii="Lato" w:hAnsi="Lato"/>
                <w:szCs w:val="22"/>
                <w:lang w:val="en-IE"/>
              </w:rPr>
            </w:pP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4A747B" w:rsidP="004A747B">
            <w:pPr>
              <w:spacing w:line="240" w:lineRule="auto"/>
              <w:jc w:val="right"/>
              <w:rPr>
                <w:rFonts w:ascii="Lato" w:hAnsi="Lato"/>
                <w:szCs w:val="22"/>
                <w:lang w:val="en-IE"/>
              </w:rPr>
            </w:pPr>
            <w:r w:rsidRPr="001D39EA">
              <w:rPr>
                <w:rFonts w:ascii="Lato" w:hAnsi="Lato"/>
                <w:szCs w:val="22"/>
                <w:lang w:val="en-IE"/>
              </w:rPr>
              <w:t>b</w:t>
            </w:r>
            <w:r w:rsidR="00587913" w:rsidRPr="001D39EA">
              <w:rPr>
                <w:rFonts w:ascii="Lato" w:hAnsi="Lato"/>
                <w:szCs w:val="22"/>
                <w:lang w:val="en-IE"/>
              </w:rPr>
              <w:t>)</w:t>
            </w:r>
          </w:p>
        </w:tc>
        <w:tc>
          <w:tcPr>
            <w:tcW w:w="9423" w:type="dxa"/>
            <w:gridSpan w:val="5"/>
            <w:tcBorders>
              <w:top w:val="nil"/>
              <w:left w:val="nil"/>
              <w:bottom w:val="nil"/>
              <w:right w:val="single" w:sz="4" w:space="0" w:color="auto"/>
            </w:tcBorders>
          </w:tcPr>
          <w:p w:rsidR="007C5AFE" w:rsidRPr="001D39EA" w:rsidRDefault="007C5AFE" w:rsidP="004A747B">
            <w:pPr>
              <w:spacing w:line="240" w:lineRule="auto"/>
              <w:jc w:val="both"/>
              <w:rPr>
                <w:rFonts w:ascii="Lato" w:hAnsi="Lato"/>
                <w:szCs w:val="22"/>
                <w:lang w:val="en-IE"/>
              </w:rPr>
            </w:pPr>
            <w:r w:rsidRPr="001D39EA">
              <w:rPr>
                <w:rFonts w:ascii="Lato" w:hAnsi="Lato"/>
                <w:szCs w:val="22"/>
              </w:rPr>
              <w:t>Provide a description of how the AIFM ensures a fair treatment of unitholders and</w:t>
            </w:r>
            <w:r w:rsidR="004A747B" w:rsidRPr="001D39EA">
              <w:rPr>
                <w:rFonts w:ascii="Lato" w:hAnsi="Lato"/>
                <w:szCs w:val="22"/>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4A747B">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4A747B" w:rsidP="006F7480">
            <w:pPr>
              <w:spacing w:line="240" w:lineRule="auto"/>
              <w:jc w:val="both"/>
              <w:rPr>
                <w:rFonts w:ascii="Lato" w:hAnsi="Lato"/>
                <w:szCs w:val="22"/>
                <w:lang w:val="en-IE"/>
              </w:rPr>
            </w:pPr>
            <w:r w:rsidRPr="001D39EA">
              <w:rPr>
                <w:rFonts w:ascii="Lato" w:hAnsi="Lato"/>
                <w:szCs w:val="22"/>
              </w:rPr>
              <w:t xml:space="preserve">whenever a unitholder </w:t>
            </w:r>
            <w:r w:rsidR="007C5AFE" w:rsidRPr="001D39EA">
              <w:rPr>
                <w:rFonts w:ascii="Lato" w:hAnsi="Lato"/>
                <w:szCs w:val="22"/>
              </w:rPr>
              <w:t>obtains preferential treatment or the right to obtain preferential</w:t>
            </w:r>
            <w:r w:rsidRPr="001D39EA">
              <w:rPr>
                <w:rFonts w:ascii="Lato" w:hAnsi="Lato"/>
                <w:szCs w:val="22"/>
              </w:rPr>
              <w:t xml:space="preserve"> treatment:  </w:t>
            </w:r>
            <w:r w:rsidR="007C5AFE" w:rsidRPr="001D39EA">
              <w:rPr>
                <w:rFonts w:ascii="Lato" w:hAnsi="Lato"/>
                <w:szCs w:val="22"/>
              </w:rPr>
              <w:t xml:space="preserve"> </w:t>
            </w: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single" w:sz="4" w:space="0" w:color="auto"/>
            </w:tcBorders>
          </w:tcPr>
          <w:p w:rsidR="007C5AFE" w:rsidRPr="001D39EA" w:rsidRDefault="007C5AFE" w:rsidP="006F7480">
            <w:pPr>
              <w:spacing w:line="240" w:lineRule="auto"/>
              <w:jc w:val="both"/>
              <w:rPr>
                <w:rFonts w:ascii="Lato" w:hAnsi="Lato"/>
                <w:szCs w:val="22"/>
                <w:lang w:val="en-IE"/>
              </w:rPr>
            </w:pPr>
            <w:r w:rsidRPr="001D39EA">
              <w:rPr>
                <w:rFonts w:ascii="Lato" w:hAnsi="Lato"/>
                <w:szCs w:val="22"/>
              </w:rPr>
              <w:t xml:space="preserve">a description of that preferential treatment,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single" w:sz="4" w:space="0" w:color="auto"/>
            </w:tcBorders>
          </w:tcPr>
          <w:p w:rsidR="007C5AFE" w:rsidRPr="001D39EA" w:rsidRDefault="007C5AFE" w:rsidP="006F7480">
            <w:pPr>
              <w:spacing w:line="240" w:lineRule="auto"/>
              <w:jc w:val="both"/>
              <w:rPr>
                <w:rFonts w:ascii="Lato" w:hAnsi="Lato"/>
                <w:szCs w:val="22"/>
                <w:lang w:val="en-IE"/>
              </w:rPr>
            </w:pPr>
            <w:r w:rsidRPr="001D39EA">
              <w:rPr>
                <w:rFonts w:ascii="Lato" w:hAnsi="Lato"/>
                <w:szCs w:val="22"/>
              </w:rPr>
              <w:t>the type of unitholders who obtain such preferential treatment and</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single" w:sz="4" w:space="0" w:color="auto"/>
            </w:tcBorders>
          </w:tcPr>
          <w:p w:rsidR="007C5AFE" w:rsidRPr="001D39EA" w:rsidRDefault="007C5AFE" w:rsidP="006F7480">
            <w:pPr>
              <w:spacing w:line="240" w:lineRule="auto"/>
              <w:jc w:val="both"/>
              <w:rPr>
                <w:rFonts w:ascii="Lato" w:hAnsi="Lato"/>
                <w:szCs w:val="22"/>
                <w:lang w:val="en-IE"/>
              </w:rPr>
            </w:pPr>
            <w:r w:rsidRPr="001D39EA">
              <w:rPr>
                <w:rFonts w:ascii="Lato" w:hAnsi="Lato"/>
                <w:szCs w:val="22"/>
              </w:rPr>
              <w:t>where relevant, their legal or economic links with the Qualifying investor AIF or AIFM</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single" w:sz="4" w:space="0" w:color="auto"/>
            </w:tcBorders>
          </w:tcPr>
          <w:p w:rsidR="007C5AFE" w:rsidRPr="001D39EA" w:rsidRDefault="007C5AFE">
            <w:pPr>
              <w:spacing w:line="240" w:lineRule="auto"/>
              <w:rPr>
                <w:rFonts w:ascii="Lato" w:hAnsi="Lato"/>
                <w:b/>
                <w:bCs/>
                <w:szCs w:val="22"/>
                <w:lang w:val="en-IE"/>
              </w:rPr>
            </w:pPr>
            <w:r w:rsidRPr="001D39EA">
              <w:rPr>
                <w:rFonts w:ascii="Lato" w:hAnsi="Lato"/>
                <w:b/>
                <w:bCs/>
                <w:szCs w:val="22"/>
                <w:lang w:val="en-IE"/>
              </w:rPr>
              <w:t>3.4</w:t>
            </w:r>
          </w:p>
        </w:tc>
        <w:tc>
          <w:tcPr>
            <w:tcW w:w="9423" w:type="dxa"/>
            <w:gridSpan w:val="5"/>
            <w:tcBorders>
              <w:top w:val="single" w:sz="4" w:space="0" w:color="auto"/>
              <w:left w:val="single" w:sz="4" w:space="0" w:color="auto"/>
              <w:bottom w:val="single" w:sz="4" w:space="0" w:color="auto"/>
              <w:right w:val="single" w:sz="4" w:space="0" w:color="auto"/>
            </w:tcBorders>
          </w:tcPr>
          <w:p w:rsidR="007C5AFE" w:rsidRPr="001D39EA" w:rsidRDefault="007C5AFE">
            <w:pPr>
              <w:pStyle w:val="Heading2"/>
              <w:spacing w:before="0" w:after="0" w:line="240" w:lineRule="auto"/>
              <w:jc w:val="both"/>
              <w:rPr>
                <w:rFonts w:ascii="Lato" w:hAnsi="Lato"/>
                <w:color w:val="auto"/>
                <w:sz w:val="22"/>
                <w:szCs w:val="22"/>
              </w:rPr>
            </w:pPr>
            <w:r w:rsidRPr="001D39EA">
              <w:rPr>
                <w:rFonts w:ascii="Lato" w:hAnsi="Lato"/>
                <w:color w:val="auto"/>
                <w:sz w:val="22"/>
                <w:szCs w:val="22"/>
              </w:rPr>
              <w:t>Redemption/Repurchase of Participating Shares</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single" w:sz="4" w:space="0" w:color="auto"/>
              <w:left w:val="nil"/>
              <w:bottom w:val="nil"/>
              <w:right w:val="nil"/>
            </w:tcBorders>
          </w:tcPr>
          <w:p w:rsidR="007C5AFE" w:rsidRPr="001D39EA" w:rsidRDefault="007C5AFE">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r w:rsidRPr="001D39EA">
              <w:rPr>
                <w:rFonts w:ascii="Lato" w:hAnsi="Lato"/>
                <w:szCs w:val="22"/>
                <w:lang w:val="en-IE"/>
              </w:rPr>
              <w:t>3.4.1</w:t>
            </w: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lang w:val="en-IE"/>
              </w:rPr>
            </w:pPr>
            <w:r w:rsidRPr="001D39EA">
              <w:rPr>
                <w:rFonts w:ascii="Lato" w:hAnsi="Lato"/>
                <w:szCs w:val="22"/>
                <w:lang w:val="en-IE"/>
              </w:rPr>
              <w:t xml:space="preserve">Confirm that the </w:t>
            </w:r>
            <w:r w:rsidR="00ED31FB" w:rsidRPr="001D39EA">
              <w:rPr>
                <w:rFonts w:ascii="Lato" w:hAnsi="Lato"/>
                <w:szCs w:val="22"/>
                <w:lang w:val="en-IE"/>
              </w:rPr>
              <w:t xml:space="preserve"> Instrument of Incorporation</w:t>
            </w:r>
            <w:r w:rsidRPr="001D39EA">
              <w:rPr>
                <w:rFonts w:ascii="Lato" w:hAnsi="Lato"/>
                <w:szCs w:val="22"/>
                <w:lang w:val="en-IE"/>
              </w:rPr>
              <w:t xml:space="preserve"> authorise</w:t>
            </w:r>
            <w:r w:rsidR="00ED31FB" w:rsidRPr="001D39EA">
              <w:rPr>
                <w:rFonts w:ascii="Lato" w:hAnsi="Lato"/>
                <w:szCs w:val="22"/>
                <w:lang w:val="en-IE"/>
              </w:rPr>
              <w:t>s</w:t>
            </w:r>
            <w:r w:rsidRPr="001D39EA">
              <w:rPr>
                <w:rFonts w:ascii="Lato" w:hAnsi="Lato"/>
                <w:szCs w:val="22"/>
                <w:lang w:val="en-IE"/>
              </w:rPr>
              <w:t xml:space="preserve"> the repurchasing of its own shares by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59751F" w:rsidP="00587913">
            <w:pPr>
              <w:spacing w:line="240" w:lineRule="auto"/>
              <w:jc w:val="both"/>
              <w:rPr>
                <w:rFonts w:ascii="Lato" w:hAnsi="Lato"/>
                <w:szCs w:val="22"/>
                <w:lang w:val="en-IE"/>
              </w:rPr>
            </w:pPr>
            <w:r w:rsidRPr="00F72ED7">
              <w:rPr>
                <w:rFonts w:ascii="Lato" w:hAnsi="Lato"/>
                <w:szCs w:val="22"/>
                <w:lang w:val="en-IE"/>
              </w:rPr>
              <w:t>the</w:t>
            </w:r>
            <w:r w:rsidRPr="00DC0539">
              <w:rPr>
                <w:rFonts w:ascii="Lato" w:hAnsi="Lato"/>
                <w:szCs w:val="22"/>
                <w:lang w:val="en-IE"/>
              </w:rPr>
              <w:t xml:space="preserve"> </w:t>
            </w:r>
            <w:r w:rsidR="007C5AFE" w:rsidRPr="001D39EA">
              <w:rPr>
                <w:rFonts w:ascii="Lato" w:hAnsi="Lato"/>
                <w:szCs w:val="22"/>
                <w:lang w:val="en-IE"/>
              </w:rPr>
              <w:t>Qualifying Investor AIF</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3"/>
        </w:trPr>
        <w:tc>
          <w:tcPr>
            <w:tcW w:w="925" w:type="dxa"/>
            <w:vMerge w:val="restart"/>
            <w:tcBorders>
              <w:top w:val="nil"/>
              <w:left w:val="nil"/>
              <w:right w:val="nil"/>
            </w:tcBorders>
          </w:tcPr>
          <w:p w:rsidR="007C5AFE" w:rsidRPr="001D39EA" w:rsidRDefault="007C5AFE">
            <w:pPr>
              <w:spacing w:line="240" w:lineRule="auto"/>
              <w:rPr>
                <w:rFonts w:ascii="Lato" w:hAnsi="Lato"/>
                <w:szCs w:val="22"/>
                <w:lang w:val="en-IE"/>
              </w:rPr>
            </w:pPr>
            <w:r w:rsidRPr="001D39EA">
              <w:rPr>
                <w:rFonts w:ascii="Lato" w:hAnsi="Lato"/>
                <w:szCs w:val="22"/>
                <w:lang w:val="en-IE"/>
              </w:rPr>
              <w:t>3.4.2</w:t>
            </w:r>
          </w:p>
        </w:tc>
        <w:tc>
          <w:tcPr>
            <w:tcW w:w="9423" w:type="dxa"/>
            <w:gridSpan w:val="5"/>
            <w:vMerge w:val="restart"/>
            <w:tcBorders>
              <w:top w:val="nil"/>
              <w:left w:val="nil"/>
              <w:right w:val="single" w:sz="4" w:space="0" w:color="auto"/>
            </w:tcBorders>
          </w:tcPr>
          <w:p w:rsidR="007C5AFE" w:rsidRPr="001D39EA" w:rsidRDefault="007C5AFE">
            <w:pPr>
              <w:spacing w:line="240" w:lineRule="auto"/>
              <w:jc w:val="both"/>
              <w:rPr>
                <w:rFonts w:ascii="Lato" w:hAnsi="Lato"/>
                <w:szCs w:val="22"/>
                <w:lang w:val="en-IE"/>
              </w:rPr>
            </w:pPr>
            <w:r w:rsidRPr="001D39EA">
              <w:rPr>
                <w:rFonts w:ascii="Lato" w:hAnsi="Lato"/>
                <w:szCs w:val="22"/>
                <w:lang w:val="en-IE"/>
              </w:rPr>
              <w:t>Provide that shares will be redeemed or repurchased at a price arrived at by dividing the net asset value of the Qualifying Investor AIF by the number of shares outstanding (such price may be decreased by duties and charges)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vMerge/>
            <w:tcBorders>
              <w:left w:val="nil"/>
              <w:right w:val="nil"/>
            </w:tcBorders>
          </w:tcPr>
          <w:p w:rsidR="007C5AFE" w:rsidRPr="001D39EA" w:rsidRDefault="007C5AFE">
            <w:pPr>
              <w:spacing w:line="240" w:lineRule="auto"/>
              <w:rPr>
                <w:rFonts w:ascii="Lato" w:hAnsi="Lato"/>
                <w:szCs w:val="22"/>
                <w:lang w:val="en-IE"/>
              </w:rPr>
            </w:pPr>
          </w:p>
        </w:tc>
        <w:tc>
          <w:tcPr>
            <w:tcW w:w="9423" w:type="dxa"/>
            <w:gridSpan w:val="5"/>
            <w:vMerge/>
            <w:tcBorders>
              <w:left w:val="nil"/>
              <w:right w:val="nil"/>
            </w:tcBorders>
          </w:tcPr>
          <w:p w:rsidR="007C5AFE" w:rsidRPr="001D39EA" w:rsidRDefault="007C5AFE">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vMerge/>
            <w:tcBorders>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vMerge/>
            <w:tcBorders>
              <w:left w:val="nil"/>
              <w:bottom w:val="nil"/>
              <w:right w:val="nil"/>
            </w:tcBorders>
          </w:tcPr>
          <w:p w:rsidR="007C5AFE" w:rsidRPr="001D39EA" w:rsidRDefault="007C5AFE">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pPr>
              <w:pStyle w:val="Heading1"/>
              <w:spacing w:before="0" w:after="0" w:line="240" w:lineRule="auto"/>
              <w:jc w:val="both"/>
              <w:rPr>
                <w:rFonts w:ascii="Lato" w:hAnsi="Lato"/>
                <w:b/>
                <w:color w:val="auto"/>
                <w:sz w:val="22"/>
                <w:szCs w:val="22"/>
              </w:rPr>
            </w:pPr>
            <w:r w:rsidRPr="001D39EA">
              <w:rPr>
                <w:rFonts w:ascii="Lato" w:hAnsi="Lato"/>
                <w:b/>
                <w:color w:val="auto"/>
                <w:sz w:val="22"/>
                <w:szCs w:val="22"/>
              </w:rPr>
              <w:t>Repurchase Charge</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3"/>
        </w:trPr>
        <w:tc>
          <w:tcPr>
            <w:tcW w:w="925" w:type="dxa"/>
            <w:vMerge w:val="restart"/>
            <w:tcBorders>
              <w:top w:val="nil"/>
              <w:left w:val="nil"/>
              <w:right w:val="nil"/>
            </w:tcBorders>
          </w:tcPr>
          <w:p w:rsidR="007C5AFE" w:rsidRPr="001D39EA" w:rsidRDefault="007C5AFE" w:rsidP="00587913">
            <w:pPr>
              <w:spacing w:line="240" w:lineRule="auto"/>
              <w:rPr>
                <w:rFonts w:ascii="Lato" w:hAnsi="Lato"/>
                <w:szCs w:val="22"/>
                <w:lang w:val="en-IE"/>
              </w:rPr>
            </w:pPr>
            <w:r w:rsidRPr="001D39EA">
              <w:rPr>
                <w:rFonts w:ascii="Lato" w:hAnsi="Lato"/>
                <w:szCs w:val="22"/>
                <w:lang w:val="en-IE"/>
              </w:rPr>
              <w:t>3.4.3</w:t>
            </w:r>
          </w:p>
        </w:tc>
        <w:tc>
          <w:tcPr>
            <w:tcW w:w="9423" w:type="dxa"/>
            <w:gridSpan w:val="5"/>
            <w:vMerge w:val="restart"/>
            <w:tcBorders>
              <w:top w:val="nil"/>
              <w:left w:val="nil"/>
              <w:right w:val="single" w:sz="4" w:space="0" w:color="auto"/>
            </w:tcBorders>
          </w:tcPr>
          <w:p w:rsidR="007C5AFE" w:rsidRPr="001D39EA" w:rsidRDefault="007C5AFE" w:rsidP="00F37D93">
            <w:pPr>
              <w:spacing w:line="240" w:lineRule="auto"/>
              <w:jc w:val="both"/>
              <w:rPr>
                <w:rFonts w:ascii="Lato" w:hAnsi="Lato"/>
                <w:szCs w:val="22"/>
                <w:lang w:val="en-IE"/>
              </w:rPr>
            </w:pPr>
            <w:r w:rsidRPr="001D39EA">
              <w:rPr>
                <w:rFonts w:ascii="Lato" w:hAnsi="Lato"/>
                <w:szCs w:val="22"/>
                <w:lang w:val="en-IE"/>
              </w:rPr>
              <w:t xml:space="preserve">State the maximum repurchase charge (note: this cannot exceed 5% </w:t>
            </w:r>
            <w:r w:rsidR="00F37D93" w:rsidRPr="001D39EA">
              <w:rPr>
                <w:rFonts w:ascii="Lato" w:hAnsi="Lato"/>
                <w:szCs w:val="22"/>
                <w:lang w:val="en-IE"/>
              </w:rPr>
              <w:t>of net asset value per unit</w:t>
            </w:r>
            <w:r w:rsidR="00402488" w:rsidRPr="001D39EA">
              <w:rPr>
                <w:rFonts w:ascii="Lato" w:hAnsi="Lato"/>
                <w:szCs w:val="22"/>
                <w:lang w:val="en-IE"/>
              </w:rPr>
              <w:t xml:space="preserve"> </w:t>
            </w:r>
            <w:r w:rsidRPr="001D39EA">
              <w:rPr>
                <w:rFonts w:ascii="Lato" w:hAnsi="Lato"/>
                <w:szCs w:val="22"/>
                <w:lang w:val="en-IE"/>
              </w:rPr>
              <w:t xml:space="preserve">in the case of open-ended Qualifying Investor AIF) </w:t>
            </w:r>
            <w:r w:rsidR="00252CCF" w:rsidRPr="001D39EA">
              <w:rPr>
                <w:rFonts w:ascii="Lato" w:hAnsi="Lato"/>
                <w:szCs w:val="22"/>
                <w:lang w:val="en-IE"/>
              </w:rPr>
              <w:t xml:space="preserve"> or provide that this will be disclosed in the prospectus</w:t>
            </w:r>
            <w:r w:rsidRPr="001D39EA">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vMerge/>
            <w:tcBorders>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vMerge/>
            <w:tcBorders>
              <w:left w:val="nil"/>
              <w:bottom w:val="nil"/>
              <w:right w:val="nil"/>
            </w:tcBorders>
          </w:tcPr>
          <w:p w:rsidR="007C5AFE" w:rsidRPr="001D39EA" w:rsidRDefault="007C5AFE">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0069E4"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0069E4" w:rsidRPr="001D39EA" w:rsidRDefault="000069E4">
            <w:pPr>
              <w:spacing w:line="240" w:lineRule="auto"/>
              <w:rPr>
                <w:rFonts w:ascii="Lato" w:hAnsi="Lato"/>
                <w:szCs w:val="22"/>
                <w:lang w:val="en-IE"/>
              </w:rPr>
            </w:pPr>
          </w:p>
        </w:tc>
        <w:tc>
          <w:tcPr>
            <w:tcW w:w="9423" w:type="dxa"/>
            <w:gridSpan w:val="5"/>
            <w:tcBorders>
              <w:top w:val="nil"/>
              <w:left w:val="nil"/>
              <w:bottom w:val="nil"/>
              <w:right w:val="nil"/>
            </w:tcBorders>
          </w:tcPr>
          <w:p w:rsidR="000069E4" w:rsidRPr="001D39EA" w:rsidRDefault="009A4EBD">
            <w:pPr>
              <w:spacing w:line="240" w:lineRule="auto"/>
              <w:jc w:val="both"/>
              <w:rPr>
                <w:rFonts w:ascii="Lato" w:hAnsi="Lato"/>
                <w:szCs w:val="22"/>
                <w:lang w:val="en-IE"/>
              </w:rPr>
            </w:pPr>
            <w:r w:rsidRPr="001D39EA">
              <w:rPr>
                <w:rFonts w:ascii="Lato" w:hAnsi="Lato"/>
                <w:szCs w:val="22"/>
                <w:lang w:val="en-IE"/>
              </w:rPr>
              <w:t xml:space="preserve">Note: The maximum charge relating to the redemption or repurchase of units may not be </w:t>
            </w:r>
          </w:p>
        </w:tc>
        <w:tc>
          <w:tcPr>
            <w:tcW w:w="889" w:type="dxa"/>
            <w:gridSpan w:val="4"/>
            <w:tcBorders>
              <w:top w:val="nil"/>
              <w:left w:val="nil"/>
              <w:bottom w:val="nil"/>
              <w:right w:val="nil"/>
            </w:tcBorders>
          </w:tcPr>
          <w:p w:rsidR="000069E4" w:rsidRPr="001D39EA" w:rsidRDefault="000069E4">
            <w:pPr>
              <w:spacing w:line="240" w:lineRule="auto"/>
              <w:rPr>
                <w:rFonts w:ascii="Lato" w:hAnsi="Lato"/>
                <w:szCs w:val="22"/>
                <w:lang w:val="en-IE"/>
              </w:rPr>
            </w:pPr>
          </w:p>
        </w:tc>
      </w:tr>
      <w:tr w:rsidR="000069E4"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0069E4" w:rsidRPr="001D39EA" w:rsidRDefault="000069E4">
            <w:pPr>
              <w:spacing w:line="240" w:lineRule="auto"/>
              <w:rPr>
                <w:rFonts w:ascii="Lato" w:hAnsi="Lato"/>
                <w:szCs w:val="22"/>
                <w:lang w:val="en-IE"/>
              </w:rPr>
            </w:pPr>
          </w:p>
        </w:tc>
        <w:tc>
          <w:tcPr>
            <w:tcW w:w="9423" w:type="dxa"/>
            <w:gridSpan w:val="5"/>
            <w:tcBorders>
              <w:top w:val="nil"/>
              <w:left w:val="nil"/>
              <w:bottom w:val="nil"/>
              <w:right w:val="nil"/>
            </w:tcBorders>
          </w:tcPr>
          <w:p w:rsidR="000069E4" w:rsidRPr="001D39EA" w:rsidRDefault="0059751F">
            <w:pPr>
              <w:spacing w:line="240" w:lineRule="auto"/>
              <w:jc w:val="both"/>
              <w:rPr>
                <w:rFonts w:ascii="Lato" w:hAnsi="Lato"/>
                <w:szCs w:val="22"/>
                <w:lang w:val="en-IE"/>
              </w:rPr>
            </w:pPr>
            <w:r w:rsidRPr="00F72ED7">
              <w:rPr>
                <w:rFonts w:ascii="Lato" w:hAnsi="Lato"/>
                <w:szCs w:val="22"/>
                <w:lang w:val="en-IE"/>
              </w:rPr>
              <w:t xml:space="preserve">increased </w:t>
            </w:r>
            <w:r w:rsidR="008E5369" w:rsidRPr="001D39EA">
              <w:rPr>
                <w:rFonts w:ascii="Lato" w:hAnsi="Lato"/>
                <w:szCs w:val="22"/>
                <w:lang w:val="en-IE"/>
              </w:rPr>
              <w:t xml:space="preserve">without an </w:t>
            </w:r>
            <w:r w:rsidR="009A4EBD" w:rsidRPr="001D39EA">
              <w:rPr>
                <w:rFonts w:ascii="Lato" w:hAnsi="Lato"/>
                <w:szCs w:val="22"/>
                <w:lang w:val="en-IE"/>
              </w:rPr>
              <w:t xml:space="preserve">approval on the basis of a majority of votes cast at a general meeting.  In the </w:t>
            </w:r>
          </w:p>
        </w:tc>
        <w:tc>
          <w:tcPr>
            <w:tcW w:w="889" w:type="dxa"/>
            <w:gridSpan w:val="4"/>
            <w:tcBorders>
              <w:top w:val="nil"/>
              <w:left w:val="nil"/>
              <w:bottom w:val="nil"/>
              <w:right w:val="nil"/>
            </w:tcBorders>
          </w:tcPr>
          <w:p w:rsidR="000069E4" w:rsidRPr="001D39EA" w:rsidRDefault="000069E4">
            <w:pPr>
              <w:spacing w:line="240" w:lineRule="auto"/>
              <w:rPr>
                <w:rFonts w:ascii="Lato" w:hAnsi="Lato"/>
                <w:szCs w:val="22"/>
                <w:lang w:val="en-IE"/>
              </w:rPr>
            </w:pPr>
          </w:p>
        </w:tc>
      </w:tr>
      <w:tr w:rsidR="000069E4"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0069E4" w:rsidRPr="001D39EA" w:rsidRDefault="000069E4">
            <w:pPr>
              <w:spacing w:line="240" w:lineRule="auto"/>
              <w:rPr>
                <w:rFonts w:ascii="Lato" w:hAnsi="Lato"/>
                <w:szCs w:val="22"/>
                <w:lang w:val="en-IE"/>
              </w:rPr>
            </w:pPr>
          </w:p>
        </w:tc>
        <w:tc>
          <w:tcPr>
            <w:tcW w:w="9423" w:type="dxa"/>
            <w:gridSpan w:val="5"/>
            <w:tcBorders>
              <w:top w:val="nil"/>
              <w:left w:val="nil"/>
              <w:bottom w:val="nil"/>
              <w:right w:val="nil"/>
            </w:tcBorders>
          </w:tcPr>
          <w:p w:rsidR="000069E4" w:rsidRPr="001D39EA" w:rsidRDefault="0059751F">
            <w:pPr>
              <w:spacing w:line="240" w:lineRule="auto"/>
              <w:jc w:val="both"/>
              <w:rPr>
                <w:rFonts w:ascii="Lato" w:hAnsi="Lato"/>
                <w:szCs w:val="22"/>
                <w:lang w:val="en-IE"/>
              </w:rPr>
            </w:pPr>
            <w:r w:rsidRPr="00F72ED7">
              <w:rPr>
                <w:rFonts w:ascii="Lato" w:hAnsi="Lato"/>
                <w:szCs w:val="22"/>
                <w:lang w:val="en-IE"/>
              </w:rPr>
              <w:t xml:space="preserve">event of an </w:t>
            </w:r>
            <w:r w:rsidR="008E5369" w:rsidRPr="001D39EA">
              <w:rPr>
                <w:rFonts w:ascii="Lato" w:hAnsi="Lato"/>
                <w:szCs w:val="22"/>
                <w:lang w:val="en-IE"/>
              </w:rPr>
              <w:t xml:space="preserve">increase in the redemption or </w:t>
            </w:r>
            <w:r w:rsidR="009A4EBD" w:rsidRPr="001D39EA">
              <w:rPr>
                <w:rFonts w:ascii="Lato" w:hAnsi="Lato"/>
                <w:szCs w:val="22"/>
                <w:lang w:val="en-IE"/>
              </w:rPr>
              <w:t xml:space="preserve">repurchase charge a reasonable notification period must </w:t>
            </w:r>
          </w:p>
        </w:tc>
        <w:tc>
          <w:tcPr>
            <w:tcW w:w="889" w:type="dxa"/>
            <w:gridSpan w:val="4"/>
            <w:tcBorders>
              <w:top w:val="nil"/>
              <w:left w:val="nil"/>
              <w:bottom w:val="nil"/>
              <w:right w:val="nil"/>
            </w:tcBorders>
          </w:tcPr>
          <w:p w:rsidR="000069E4" w:rsidRPr="001D39EA" w:rsidRDefault="000069E4">
            <w:pPr>
              <w:spacing w:line="240" w:lineRule="auto"/>
              <w:rPr>
                <w:rFonts w:ascii="Lato" w:hAnsi="Lato"/>
                <w:szCs w:val="22"/>
                <w:lang w:val="en-IE"/>
              </w:rPr>
            </w:pPr>
          </w:p>
        </w:tc>
      </w:tr>
      <w:tr w:rsidR="000069E4"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0069E4" w:rsidRPr="001D39EA" w:rsidRDefault="000069E4">
            <w:pPr>
              <w:spacing w:line="240" w:lineRule="auto"/>
              <w:rPr>
                <w:rFonts w:ascii="Lato" w:hAnsi="Lato"/>
                <w:szCs w:val="22"/>
                <w:lang w:val="en-IE"/>
              </w:rPr>
            </w:pPr>
          </w:p>
        </w:tc>
        <w:tc>
          <w:tcPr>
            <w:tcW w:w="9423" w:type="dxa"/>
            <w:gridSpan w:val="5"/>
            <w:tcBorders>
              <w:top w:val="nil"/>
              <w:left w:val="nil"/>
              <w:bottom w:val="nil"/>
              <w:right w:val="nil"/>
            </w:tcBorders>
          </w:tcPr>
          <w:p w:rsidR="000069E4" w:rsidRPr="001D39EA" w:rsidRDefault="0059751F">
            <w:pPr>
              <w:spacing w:line="240" w:lineRule="auto"/>
              <w:jc w:val="both"/>
              <w:rPr>
                <w:rFonts w:ascii="Lato" w:hAnsi="Lato"/>
                <w:szCs w:val="22"/>
                <w:lang w:val="en-IE"/>
              </w:rPr>
            </w:pPr>
            <w:r w:rsidRPr="00F72ED7">
              <w:rPr>
                <w:rFonts w:ascii="Lato" w:hAnsi="Lato"/>
                <w:szCs w:val="22"/>
                <w:lang w:val="en-IE"/>
              </w:rPr>
              <w:t xml:space="preserve">be provided by </w:t>
            </w:r>
            <w:r w:rsidR="008E5369" w:rsidRPr="001D39EA">
              <w:rPr>
                <w:rFonts w:ascii="Lato" w:hAnsi="Lato"/>
                <w:szCs w:val="22"/>
                <w:lang w:val="en-IE"/>
              </w:rPr>
              <w:t xml:space="preserve">the Qualifying Investor AIF to enable </w:t>
            </w:r>
            <w:r w:rsidR="009A4EBD" w:rsidRPr="001D39EA">
              <w:rPr>
                <w:rFonts w:ascii="Lato" w:hAnsi="Lato"/>
                <w:szCs w:val="22"/>
                <w:lang w:val="en-IE"/>
              </w:rPr>
              <w:t xml:space="preserve">unitholders redeem their units </w:t>
            </w:r>
            <w:r w:rsidR="001B7AAB" w:rsidRPr="001D39EA">
              <w:rPr>
                <w:rFonts w:ascii="Lato" w:hAnsi="Lato"/>
                <w:szCs w:val="22"/>
                <w:lang w:val="en-IE"/>
              </w:rPr>
              <w:t xml:space="preserve">prior </w:t>
            </w:r>
            <w:r w:rsidR="009A4EBD" w:rsidRPr="001D39EA">
              <w:rPr>
                <w:rFonts w:ascii="Lato" w:hAnsi="Lato"/>
                <w:szCs w:val="22"/>
                <w:lang w:val="en-IE"/>
              </w:rPr>
              <w:t>to the implementation of the increase.</w:t>
            </w:r>
          </w:p>
        </w:tc>
        <w:tc>
          <w:tcPr>
            <w:tcW w:w="889" w:type="dxa"/>
            <w:gridSpan w:val="4"/>
            <w:tcBorders>
              <w:top w:val="nil"/>
              <w:left w:val="nil"/>
              <w:bottom w:val="nil"/>
              <w:right w:val="nil"/>
            </w:tcBorders>
          </w:tcPr>
          <w:p w:rsidR="000069E4" w:rsidRPr="001D39EA" w:rsidRDefault="000069E4">
            <w:pPr>
              <w:spacing w:line="240" w:lineRule="auto"/>
              <w:rPr>
                <w:rFonts w:ascii="Lato" w:hAnsi="Lato"/>
                <w:szCs w:val="22"/>
                <w:lang w:val="en-IE"/>
              </w:rPr>
            </w:pPr>
          </w:p>
        </w:tc>
      </w:tr>
      <w:tr w:rsidR="000069E4"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0069E4" w:rsidRPr="001D39EA" w:rsidRDefault="000069E4">
            <w:pPr>
              <w:spacing w:line="240" w:lineRule="auto"/>
              <w:rPr>
                <w:rFonts w:ascii="Lato" w:hAnsi="Lato"/>
                <w:szCs w:val="22"/>
                <w:lang w:val="en-IE"/>
              </w:rPr>
            </w:pPr>
          </w:p>
        </w:tc>
        <w:tc>
          <w:tcPr>
            <w:tcW w:w="9423" w:type="dxa"/>
            <w:gridSpan w:val="5"/>
            <w:tcBorders>
              <w:top w:val="nil"/>
              <w:left w:val="nil"/>
              <w:bottom w:val="nil"/>
              <w:right w:val="nil"/>
            </w:tcBorders>
          </w:tcPr>
          <w:p w:rsidR="000069E4" w:rsidRPr="001D39EA" w:rsidRDefault="009A4EBD">
            <w:pPr>
              <w:spacing w:line="240" w:lineRule="auto"/>
              <w:jc w:val="both"/>
              <w:rPr>
                <w:rFonts w:ascii="Lato" w:hAnsi="Lato"/>
                <w:szCs w:val="22"/>
                <w:lang w:val="en-IE"/>
              </w:rPr>
            </w:pPr>
            <w:r w:rsidRPr="001D39EA">
              <w:rPr>
                <w:rFonts w:ascii="Lato" w:hAnsi="Lato"/>
                <w:szCs w:val="22"/>
                <w:lang w:val="en-IE"/>
              </w:rPr>
              <w:t xml:space="preserve">Note: if the fee disclosed in the prospectus is less than the maximum fee permitted here , </w:t>
            </w:r>
          </w:p>
        </w:tc>
        <w:tc>
          <w:tcPr>
            <w:tcW w:w="889" w:type="dxa"/>
            <w:gridSpan w:val="4"/>
            <w:tcBorders>
              <w:top w:val="nil"/>
              <w:left w:val="nil"/>
              <w:bottom w:val="nil"/>
              <w:right w:val="nil"/>
            </w:tcBorders>
          </w:tcPr>
          <w:p w:rsidR="000069E4" w:rsidRPr="001D39EA" w:rsidRDefault="000069E4">
            <w:pPr>
              <w:spacing w:line="240" w:lineRule="auto"/>
              <w:rPr>
                <w:rFonts w:ascii="Lato" w:hAnsi="Lato"/>
                <w:szCs w:val="22"/>
                <w:lang w:val="en-IE"/>
              </w:rPr>
            </w:pPr>
          </w:p>
        </w:tc>
      </w:tr>
      <w:tr w:rsidR="009A4EBD"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9A4EBD" w:rsidRPr="001D39EA" w:rsidRDefault="009A4EBD">
            <w:pPr>
              <w:spacing w:line="240" w:lineRule="auto"/>
              <w:rPr>
                <w:rFonts w:ascii="Lato" w:hAnsi="Lato"/>
                <w:szCs w:val="22"/>
                <w:lang w:val="en-IE"/>
              </w:rPr>
            </w:pPr>
          </w:p>
        </w:tc>
        <w:tc>
          <w:tcPr>
            <w:tcW w:w="9423" w:type="dxa"/>
            <w:gridSpan w:val="5"/>
            <w:tcBorders>
              <w:top w:val="nil"/>
              <w:left w:val="nil"/>
              <w:bottom w:val="nil"/>
              <w:right w:val="nil"/>
            </w:tcBorders>
          </w:tcPr>
          <w:p w:rsidR="009A4EBD" w:rsidRPr="001D39EA" w:rsidRDefault="0059751F">
            <w:pPr>
              <w:spacing w:line="240" w:lineRule="auto"/>
              <w:jc w:val="both"/>
              <w:rPr>
                <w:rFonts w:ascii="Lato" w:hAnsi="Lato"/>
                <w:szCs w:val="22"/>
                <w:lang w:val="en-IE"/>
              </w:rPr>
            </w:pPr>
            <w:r w:rsidRPr="00F72ED7">
              <w:rPr>
                <w:rFonts w:ascii="Lato" w:hAnsi="Lato"/>
                <w:szCs w:val="22"/>
                <w:lang w:val="en-IE"/>
              </w:rPr>
              <w:t xml:space="preserve">unitholder </w:t>
            </w:r>
            <w:r w:rsidR="008E5369" w:rsidRPr="001D39EA">
              <w:rPr>
                <w:rFonts w:ascii="Lato" w:hAnsi="Lato"/>
                <w:szCs w:val="22"/>
                <w:lang w:val="en-IE"/>
              </w:rPr>
              <w:t xml:space="preserve">approval </w:t>
            </w:r>
            <w:r w:rsidR="009A4EBD" w:rsidRPr="001D39EA">
              <w:rPr>
                <w:rFonts w:ascii="Lato" w:hAnsi="Lato"/>
                <w:szCs w:val="22"/>
                <w:lang w:val="en-IE"/>
              </w:rPr>
              <w:t xml:space="preserve">will also be required for an increase in the fee disclosed in the prospectus  </w:t>
            </w:r>
          </w:p>
        </w:tc>
        <w:tc>
          <w:tcPr>
            <w:tcW w:w="889" w:type="dxa"/>
            <w:gridSpan w:val="4"/>
            <w:tcBorders>
              <w:top w:val="nil"/>
              <w:left w:val="nil"/>
              <w:bottom w:val="nil"/>
              <w:right w:val="nil"/>
            </w:tcBorders>
          </w:tcPr>
          <w:p w:rsidR="009A4EBD" w:rsidRPr="001D39EA" w:rsidRDefault="009A4EBD">
            <w:pPr>
              <w:spacing w:line="240" w:lineRule="auto"/>
              <w:rPr>
                <w:rFonts w:ascii="Lato" w:hAnsi="Lato"/>
                <w:szCs w:val="22"/>
                <w:lang w:val="en-IE"/>
              </w:rPr>
            </w:pPr>
          </w:p>
        </w:tc>
      </w:tr>
      <w:tr w:rsidR="009A4EBD"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9A4EBD" w:rsidRPr="001D39EA" w:rsidRDefault="009A4EBD">
            <w:pPr>
              <w:spacing w:line="240" w:lineRule="auto"/>
              <w:rPr>
                <w:rFonts w:ascii="Lato" w:hAnsi="Lato"/>
                <w:szCs w:val="22"/>
                <w:lang w:val="en-IE"/>
              </w:rPr>
            </w:pPr>
          </w:p>
        </w:tc>
        <w:tc>
          <w:tcPr>
            <w:tcW w:w="9423" w:type="dxa"/>
            <w:gridSpan w:val="5"/>
            <w:tcBorders>
              <w:top w:val="nil"/>
              <w:left w:val="nil"/>
              <w:bottom w:val="nil"/>
              <w:right w:val="nil"/>
            </w:tcBorders>
          </w:tcPr>
          <w:p w:rsidR="009A4EBD" w:rsidRPr="001D39EA" w:rsidRDefault="0059751F" w:rsidP="007D2CC6">
            <w:pPr>
              <w:spacing w:line="240" w:lineRule="auto"/>
              <w:jc w:val="both"/>
              <w:rPr>
                <w:rFonts w:ascii="Lato" w:hAnsi="Lato"/>
                <w:szCs w:val="22"/>
                <w:lang w:val="en-IE"/>
              </w:rPr>
            </w:pPr>
            <w:r w:rsidRPr="00F72ED7">
              <w:rPr>
                <w:rFonts w:ascii="Lato" w:hAnsi="Lato"/>
                <w:szCs w:val="22"/>
                <w:lang w:val="en-IE"/>
              </w:rPr>
              <w:t xml:space="preserve">unless the </w:t>
            </w:r>
            <w:r w:rsidR="008E5369" w:rsidRPr="001D39EA">
              <w:rPr>
                <w:rFonts w:ascii="Lato" w:hAnsi="Lato"/>
                <w:szCs w:val="22"/>
                <w:lang w:val="en-IE"/>
              </w:rPr>
              <w:t xml:space="preserve">prospectus also provides </w:t>
            </w:r>
            <w:r w:rsidR="009A4EBD" w:rsidRPr="001D39EA">
              <w:rPr>
                <w:rFonts w:ascii="Lato" w:hAnsi="Lato"/>
                <w:szCs w:val="22"/>
                <w:lang w:val="en-IE"/>
              </w:rPr>
              <w:t>that a higher fee may be charged.</w:t>
            </w:r>
          </w:p>
        </w:tc>
        <w:tc>
          <w:tcPr>
            <w:tcW w:w="889" w:type="dxa"/>
            <w:gridSpan w:val="4"/>
            <w:tcBorders>
              <w:top w:val="nil"/>
              <w:left w:val="nil"/>
              <w:bottom w:val="nil"/>
              <w:right w:val="nil"/>
            </w:tcBorders>
          </w:tcPr>
          <w:p w:rsidR="009A4EBD" w:rsidRPr="001D39EA" w:rsidRDefault="009A4EBD">
            <w:pPr>
              <w:spacing w:line="240" w:lineRule="auto"/>
              <w:rPr>
                <w:rFonts w:ascii="Lato" w:hAnsi="Lato"/>
                <w:szCs w:val="22"/>
                <w:lang w:val="en-IE"/>
              </w:rPr>
            </w:pPr>
          </w:p>
        </w:tc>
      </w:tr>
      <w:tr w:rsidR="009A4EBD"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1"/>
        </w:trPr>
        <w:tc>
          <w:tcPr>
            <w:tcW w:w="925" w:type="dxa"/>
            <w:tcBorders>
              <w:top w:val="nil"/>
              <w:left w:val="nil"/>
              <w:bottom w:val="nil"/>
              <w:right w:val="nil"/>
            </w:tcBorders>
          </w:tcPr>
          <w:p w:rsidR="009A4EBD" w:rsidRPr="001D39EA" w:rsidRDefault="009A4EBD">
            <w:pPr>
              <w:spacing w:line="240" w:lineRule="auto"/>
              <w:rPr>
                <w:rFonts w:ascii="Lato" w:hAnsi="Lato"/>
                <w:szCs w:val="22"/>
                <w:lang w:val="en-IE"/>
              </w:rPr>
            </w:pPr>
          </w:p>
        </w:tc>
        <w:tc>
          <w:tcPr>
            <w:tcW w:w="9423" w:type="dxa"/>
            <w:gridSpan w:val="5"/>
            <w:tcBorders>
              <w:top w:val="nil"/>
              <w:left w:val="nil"/>
              <w:bottom w:val="nil"/>
              <w:right w:val="nil"/>
            </w:tcBorders>
          </w:tcPr>
          <w:p w:rsidR="009A4EBD" w:rsidRPr="001D39EA" w:rsidRDefault="009A4EBD">
            <w:pPr>
              <w:spacing w:line="240" w:lineRule="auto"/>
              <w:jc w:val="both"/>
              <w:rPr>
                <w:rFonts w:ascii="Lato" w:hAnsi="Lato"/>
                <w:szCs w:val="22"/>
                <w:lang w:val="en-IE"/>
              </w:rPr>
            </w:pPr>
          </w:p>
        </w:tc>
        <w:tc>
          <w:tcPr>
            <w:tcW w:w="889" w:type="dxa"/>
            <w:gridSpan w:val="4"/>
            <w:tcBorders>
              <w:top w:val="nil"/>
              <w:left w:val="nil"/>
              <w:bottom w:val="nil"/>
              <w:right w:val="nil"/>
            </w:tcBorders>
          </w:tcPr>
          <w:p w:rsidR="009A4EBD" w:rsidRPr="001D39EA" w:rsidRDefault="009A4EBD">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r w:rsidRPr="001D39EA">
              <w:rPr>
                <w:rFonts w:ascii="Lato" w:hAnsi="Lato"/>
                <w:szCs w:val="22"/>
                <w:lang w:val="en-IE"/>
              </w:rPr>
              <w:t xml:space="preserve">3.4.4 </w:t>
            </w:r>
          </w:p>
        </w:tc>
        <w:tc>
          <w:tcPr>
            <w:tcW w:w="9423" w:type="dxa"/>
            <w:gridSpan w:val="5"/>
            <w:tcBorders>
              <w:top w:val="nil"/>
              <w:left w:val="nil"/>
              <w:bottom w:val="nil"/>
              <w:right w:val="nil"/>
            </w:tcBorders>
          </w:tcPr>
          <w:p w:rsidR="007C5AFE" w:rsidRPr="001D39EA" w:rsidRDefault="007C5AFE" w:rsidP="00417D23">
            <w:pPr>
              <w:spacing w:line="240" w:lineRule="auto"/>
              <w:jc w:val="both"/>
              <w:rPr>
                <w:rFonts w:ascii="Lato" w:hAnsi="Lato"/>
                <w:szCs w:val="22"/>
                <w:lang w:val="en-IE"/>
              </w:rPr>
            </w:pPr>
            <w:r w:rsidRPr="001D39EA">
              <w:rPr>
                <w:rFonts w:ascii="Lato" w:hAnsi="Lato"/>
                <w:szCs w:val="22"/>
                <w:lang w:val="en-IE"/>
              </w:rPr>
              <w:t>Open-ended Qualifying Investor AIFs</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rsidP="00417D23">
            <w:pPr>
              <w:spacing w:line="240" w:lineRule="auto"/>
              <w:jc w:val="both"/>
              <w:rPr>
                <w:rFonts w:ascii="Lato" w:hAnsi="Lato"/>
                <w:szCs w:val="22"/>
                <w:lang w:val="en-IE"/>
              </w:rPr>
            </w:pPr>
            <w:r w:rsidRPr="001D39EA">
              <w:rPr>
                <w:rFonts w:ascii="Lato" w:hAnsi="Lato"/>
                <w:szCs w:val="22"/>
                <w:lang w:val="en-IE"/>
              </w:rPr>
              <w:t>Disclose that redemption facilities must be provided on at least a quarterly basis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nil"/>
            </w:tcBorders>
          </w:tcPr>
          <w:p w:rsidR="007C5AFE" w:rsidRPr="001D39EA" w:rsidRDefault="007C5AFE" w:rsidP="00417D23">
            <w:pPr>
              <w:spacing w:line="240" w:lineRule="auto"/>
              <w:jc w:val="both"/>
              <w:rPr>
                <w:rFonts w:ascii="Lato" w:hAnsi="Lato"/>
                <w:szCs w:val="22"/>
                <w:lang w:val="en-IE"/>
              </w:rPr>
            </w:pPr>
            <w:r w:rsidRPr="001D39EA">
              <w:rPr>
                <w:rFonts w:ascii="Lato" w:hAnsi="Lato"/>
                <w:szCs w:val="22"/>
                <w:lang w:val="en-IE"/>
              </w:rPr>
              <w:t>Provide that the Qualifying Investor AIF  will redeem when requested at least</w:t>
            </w: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(i)</w:t>
            </w:r>
          </w:p>
        </w:tc>
        <w:tc>
          <w:tcPr>
            <w:tcW w:w="9423" w:type="dxa"/>
            <w:gridSpan w:val="5"/>
            <w:tcBorders>
              <w:top w:val="nil"/>
              <w:left w:val="nil"/>
              <w:bottom w:val="nil"/>
              <w:right w:val="single" w:sz="4" w:space="0" w:color="auto"/>
            </w:tcBorders>
          </w:tcPr>
          <w:p w:rsidR="007C5AFE" w:rsidRPr="001D39EA" w:rsidRDefault="007C5AFE" w:rsidP="00417D23">
            <w:pPr>
              <w:spacing w:line="240" w:lineRule="auto"/>
              <w:jc w:val="both"/>
              <w:rPr>
                <w:rFonts w:ascii="Lato" w:hAnsi="Lato"/>
                <w:szCs w:val="22"/>
                <w:lang w:val="en-IE"/>
              </w:rPr>
            </w:pPr>
            <w:r w:rsidRPr="001D39EA">
              <w:rPr>
                <w:rFonts w:ascii="Lato" w:hAnsi="Lato"/>
                <w:szCs w:val="22"/>
                <w:lang w:val="en-IE"/>
              </w:rPr>
              <w:t xml:space="preserve">10% of net assets on a monthly basis; or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(ii)</w:t>
            </w:r>
          </w:p>
        </w:tc>
        <w:tc>
          <w:tcPr>
            <w:tcW w:w="9423" w:type="dxa"/>
            <w:gridSpan w:val="5"/>
            <w:tcBorders>
              <w:top w:val="nil"/>
              <w:left w:val="nil"/>
              <w:bottom w:val="nil"/>
              <w:right w:val="single" w:sz="4" w:space="0" w:color="auto"/>
            </w:tcBorders>
          </w:tcPr>
          <w:p w:rsidR="007C5AFE" w:rsidRPr="001D39EA" w:rsidRDefault="007C5AFE" w:rsidP="00417D23">
            <w:pPr>
              <w:spacing w:line="240" w:lineRule="auto"/>
              <w:jc w:val="both"/>
              <w:rPr>
                <w:rFonts w:ascii="Lato" w:hAnsi="Lato"/>
                <w:szCs w:val="22"/>
                <w:lang w:val="en-IE"/>
              </w:rPr>
            </w:pPr>
            <w:r w:rsidRPr="001D39EA">
              <w:rPr>
                <w:rFonts w:ascii="Lato" w:hAnsi="Lato"/>
                <w:szCs w:val="22"/>
                <w:lang w:val="en-IE"/>
              </w:rPr>
              <w:t>25% of  net asset on a quarterly basis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5605BD" w:rsidRPr="001D39EA" w:rsidRDefault="005605BD" w:rsidP="00EF4094">
            <w:pPr>
              <w:spacing w:line="240" w:lineRule="auto"/>
              <w:jc w:val="right"/>
              <w:rPr>
                <w:rFonts w:ascii="Lato" w:hAnsi="Lato"/>
                <w:szCs w:val="22"/>
                <w:lang w:val="en-IE"/>
              </w:rPr>
            </w:pPr>
            <w:r w:rsidRPr="001D39EA">
              <w:rPr>
                <w:rFonts w:ascii="Lato" w:hAnsi="Lato"/>
                <w:szCs w:val="22"/>
                <w:lang w:val="en-IE"/>
              </w:rPr>
              <w:t>c)</w:t>
            </w:r>
          </w:p>
        </w:tc>
        <w:tc>
          <w:tcPr>
            <w:tcW w:w="9423" w:type="dxa"/>
            <w:gridSpan w:val="5"/>
            <w:tcBorders>
              <w:top w:val="nil"/>
              <w:left w:val="nil"/>
              <w:bottom w:val="nil"/>
              <w:right w:val="single" w:sz="4" w:space="0" w:color="auto"/>
            </w:tcBorders>
          </w:tcPr>
          <w:p w:rsidR="005605BD" w:rsidRPr="001D39EA" w:rsidRDefault="005605BD" w:rsidP="00954A97">
            <w:pPr>
              <w:spacing w:line="240" w:lineRule="auto"/>
              <w:jc w:val="both"/>
              <w:rPr>
                <w:rFonts w:ascii="Lato" w:hAnsi="Lato"/>
                <w:szCs w:val="22"/>
                <w:lang w:val="en-IE"/>
              </w:rPr>
            </w:pPr>
            <w:r w:rsidRPr="001D39EA">
              <w:rPr>
                <w:rFonts w:ascii="Lato" w:hAnsi="Lato"/>
                <w:szCs w:val="22"/>
                <w:lang w:val="en-IE"/>
              </w:rPr>
              <w:t xml:space="preserve">Disclose that </w:t>
            </w:r>
            <w:r w:rsidR="00280232" w:rsidRPr="001D39EA">
              <w:rPr>
                <w:rFonts w:ascii="Lato" w:hAnsi="Lato"/>
              </w:rPr>
              <w:t>a</w:t>
            </w:r>
            <w:r w:rsidRPr="001D39EA">
              <w:rPr>
                <w:rFonts w:ascii="Lato" w:hAnsi="Lato"/>
              </w:rPr>
              <w:t xml:space="preserve">ny request for redemption on such dealing day that is above 10%/25% of </w:t>
            </w:r>
            <w:r w:rsidR="00954A97" w:rsidRPr="001D39EA">
              <w:rPr>
                <w:rFonts w:ascii="Lato" w:hAnsi="Lato"/>
              </w:rPr>
              <w:t>net assets</w:t>
            </w:r>
          </w:p>
        </w:tc>
        <w:tc>
          <w:tcPr>
            <w:tcW w:w="889" w:type="dxa"/>
            <w:gridSpan w:val="4"/>
            <w:tcBorders>
              <w:top w:val="single" w:sz="4" w:space="0" w:color="auto"/>
              <w:left w:val="single" w:sz="4" w:space="0" w:color="auto"/>
              <w:bottom w:val="single" w:sz="4" w:space="0" w:color="auto"/>
              <w:right w:val="single" w:sz="4" w:space="0" w:color="auto"/>
            </w:tcBorders>
          </w:tcPr>
          <w:p w:rsidR="005605BD" w:rsidRPr="001D39EA" w:rsidRDefault="005605BD">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5605BD" w:rsidRPr="001D39EA" w:rsidRDefault="005605BD" w:rsidP="00EF4094">
            <w:pPr>
              <w:spacing w:line="240" w:lineRule="auto"/>
              <w:jc w:val="right"/>
              <w:rPr>
                <w:rFonts w:ascii="Lato" w:hAnsi="Lato"/>
                <w:szCs w:val="22"/>
                <w:lang w:val="en-IE"/>
              </w:rPr>
            </w:pPr>
          </w:p>
        </w:tc>
        <w:tc>
          <w:tcPr>
            <w:tcW w:w="9423" w:type="dxa"/>
            <w:gridSpan w:val="5"/>
            <w:tcBorders>
              <w:top w:val="nil"/>
              <w:left w:val="nil"/>
              <w:bottom w:val="nil"/>
              <w:right w:val="nil"/>
            </w:tcBorders>
          </w:tcPr>
          <w:p w:rsidR="005605BD" w:rsidRPr="001D39EA" w:rsidRDefault="005605BD" w:rsidP="00954A97">
            <w:pPr>
              <w:spacing w:line="240" w:lineRule="auto"/>
              <w:jc w:val="both"/>
              <w:rPr>
                <w:rFonts w:ascii="Lato" w:hAnsi="Lato"/>
                <w:szCs w:val="22"/>
                <w:lang w:val="en-IE"/>
              </w:rPr>
            </w:pPr>
            <w:r w:rsidRPr="001D39EA">
              <w:rPr>
                <w:rFonts w:ascii="Lato" w:hAnsi="Lato"/>
              </w:rPr>
              <w:t xml:space="preserve">as appropriate, shall be reduced rateably and </w:t>
            </w:r>
            <w:r w:rsidR="00954A97" w:rsidRPr="001D39EA">
              <w:rPr>
                <w:rFonts w:ascii="Lato" w:hAnsi="Lato"/>
              </w:rPr>
              <w:t>disclose clearly the procedure for treatment of unsatisfied redemption requests.  This must be applied consistently throughout the life of the Qualifying Investor AIF.</w:t>
            </w:r>
          </w:p>
        </w:tc>
        <w:tc>
          <w:tcPr>
            <w:tcW w:w="889" w:type="dxa"/>
            <w:gridSpan w:val="4"/>
            <w:tcBorders>
              <w:top w:val="single" w:sz="4" w:space="0" w:color="auto"/>
              <w:left w:val="nil"/>
              <w:bottom w:val="nil"/>
              <w:right w:val="nil"/>
            </w:tcBorders>
          </w:tcPr>
          <w:p w:rsidR="005605BD" w:rsidRPr="001D39EA" w:rsidRDefault="005605BD">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17D2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r w:rsidRPr="001D39EA">
              <w:rPr>
                <w:rFonts w:ascii="Lato" w:hAnsi="Lato"/>
                <w:szCs w:val="22"/>
                <w:lang w:val="en-IE"/>
              </w:rPr>
              <w:t>3.4.5</w:t>
            </w:r>
          </w:p>
        </w:tc>
        <w:tc>
          <w:tcPr>
            <w:tcW w:w="9423" w:type="dxa"/>
            <w:gridSpan w:val="5"/>
            <w:tcBorders>
              <w:top w:val="nil"/>
              <w:left w:val="nil"/>
              <w:bottom w:val="nil"/>
              <w:right w:val="nil"/>
            </w:tcBorders>
          </w:tcPr>
          <w:p w:rsidR="007C5AFE" w:rsidRPr="001D39EA" w:rsidRDefault="007C5AFE" w:rsidP="00417D23">
            <w:pPr>
              <w:spacing w:line="240" w:lineRule="auto"/>
              <w:jc w:val="both"/>
              <w:rPr>
                <w:rFonts w:ascii="Lato" w:hAnsi="Lato"/>
                <w:szCs w:val="22"/>
                <w:lang w:val="en-IE"/>
              </w:rPr>
            </w:pPr>
            <w:r w:rsidRPr="001D39EA">
              <w:rPr>
                <w:rFonts w:ascii="Lato" w:hAnsi="Lato"/>
                <w:szCs w:val="22"/>
                <w:lang w:val="en-IE"/>
              </w:rPr>
              <w:t xml:space="preserve">Open-ended Qualifying Investor AIF with limited liquidity </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rsidP="001B7AAB">
            <w:pPr>
              <w:spacing w:line="240" w:lineRule="auto"/>
              <w:jc w:val="both"/>
              <w:rPr>
                <w:rFonts w:ascii="Lato" w:hAnsi="Lato"/>
                <w:szCs w:val="22"/>
                <w:lang w:val="en-IE"/>
              </w:rPr>
            </w:pPr>
            <w:r w:rsidRPr="001D39EA">
              <w:rPr>
                <w:rFonts w:ascii="Lato" w:hAnsi="Lato"/>
                <w:szCs w:val="22"/>
                <w:lang w:val="en-IE"/>
              </w:rPr>
              <w:t>Disclose</w:t>
            </w:r>
            <w:r w:rsidR="001B7AAB" w:rsidRPr="001D39EA">
              <w:rPr>
                <w:rFonts w:ascii="Lato" w:hAnsi="Lato"/>
                <w:szCs w:val="22"/>
                <w:lang w:val="en-IE"/>
              </w:rPr>
              <w:t xml:space="preserve"> (or insert a cross reference to the relevant section of the prospectus)</w:t>
            </w:r>
            <w:r w:rsidRPr="001D39EA">
              <w:rPr>
                <w:rFonts w:ascii="Lato" w:hAnsi="Lato"/>
                <w:szCs w:val="22"/>
                <w:lang w:val="en-IE"/>
              </w:rPr>
              <w:t xml:space="preserve"> the frequency of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1B7AAB" w:rsidRPr="00DC0539"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1B7AAB" w:rsidRPr="001D39EA" w:rsidRDefault="001B7AAB" w:rsidP="001F30BF">
            <w:pPr>
              <w:spacing w:line="240" w:lineRule="auto"/>
              <w:jc w:val="right"/>
              <w:rPr>
                <w:rFonts w:ascii="Lato" w:hAnsi="Lato"/>
                <w:szCs w:val="22"/>
                <w:lang w:val="en-IE"/>
              </w:rPr>
            </w:pPr>
          </w:p>
        </w:tc>
        <w:tc>
          <w:tcPr>
            <w:tcW w:w="9423" w:type="dxa"/>
            <w:gridSpan w:val="5"/>
            <w:tcBorders>
              <w:top w:val="nil"/>
              <w:left w:val="nil"/>
              <w:bottom w:val="nil"/>
              <w:right w:val="nil"/>
            </w:tcBorders>
          </w:tcPr>
          <w:p w:rsidR="001B7AAB" w:rsidRPr="001D39EA" w:rsidRDefault="001B7AAB" w:rsidP="00417D23">
            <w:pPr>
              <w:spacing w:line="240" w:lineRule="auto"/>
              <w:jc w:val="both"/>
              <w:rPr>
                <w:rFonts w:ascii="Lato" w:hAnsi="Lato"/>
                <w:szCs w:val="22"/>
                <w:lang w:val="en-IE"/>
              </w:rPr>
            </w:pPr>
            <w:r w:rsidRPr="001D39EA">
              <w:rPr>
                <w:rFonts w:ascii="Lato" w:hAnsi="Lato"/>
                <w:szCs w:val="22"/>
                <w:lang w:val="en-IE"/>
              </w:rPr>
              <w:t>redemptions</w:t>
            </w:r>
          </w:p>
        </w:tc>
        <w:tc>
          <w:tcPr>
            <w:tcW w:w="889" w:type="dxa"/>
            <w:gridSpan w:val="4"/>
            <w:tcBorders>
              <w:top w:val="single" w:sz="4" w:space="0" w:color="auto"/>
              <w:left w:val="nil"/>
              <w:bottom w:val="single" w:sz="4" w:space="0" w:color="auto"/>
              <w:right w:val="nil"/>
            </w:tcBorders>
          </w:tcPr>
          <w:p w:rsidR="001B7AAB" w:rsidRPr="001D39EA" w:rsidRDefault="001B7AAB">
            <w:pPr>
              <w:spacing w:line="240" w:lineRule="auto"/>
              <w:rPr>
                <w:rFonts w:ascii="Lato" w:hAnsi="Lato"/>
                <w:szCs w:val="22"/>
                <w:lang w:val="en-IE"/>
              </w:rPr>
            </w:pPr>
          </w:p>
        </w:tc>
      </w:tr>
      <w:tr w:rsidR="00791B15" w:rsidRPr="00DC0539"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single" w:sz="4" w:space="0" w:color="auto"/>
            </w:tcBorders>
          </w:tcPr>
          <w:p w:rsidR="007C5AFE" w:rsidRPr="001D39EA" w:rsidRDefault="007C5AFE" w:rsidP="001B7AAB">
            <w:pPr>
              <w:spacing w:line="240" w:lineRule="auto"/>
              <w:jc w:val="both"/>
              <w:rPr>
                <w:rFonts w:ascii="Lato" w:hAnsi="Lato"/>
                <w:szCs w:val="22"/>
                <w:lang w:val="en-IE"/>
              </w:rPr>
            </w:pPr>
            <w:r w:rsidRPr="001D39EA">
              <w:rPr>
                <w:rFonts w:ascii="Lato" w:hAnsi="Lato"/>
                <w:szCs w:val="22"/>
                <w:lang w:val="en-IE"/>
              </w:rPr>
              <w:t xml:space="preserve">Disclose </w:t>
            </w:r>
            <w:r w:rsidR="001B7AAB" w:rsidRPr="001D39EA">
              <w:rPr>
                <w:rFonts w:ascii="Lato" w:hAnsi="Lato"/>
                <w:szCs w:val="22"/>
                <w:lang w:val="en-IE"/>
              </w:rPr>
              <w:t xml:space="preserve">(or insert a cross reference to the relevant section of the prospectus) </w:t>
            </w:r>
            <w:r w:rsidRPr="001D39EA">
              <w:rPr>
                <w:rFonts w:ascii="Lato" w:hAnsi="Lato"/>
                <w:szCs w:val="22"/>
                <w:lang w:val="en-IE"/>
              </w:rPr>
              <w:t xml:space="preserve">the timeframe for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1B7AAB" w:rsidRPr="00DC0539"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1B7AAB" w:rsidRPr="001D39EA" w:rsidRDefault="001B7AAB" w:rsidP="001F30BF">
            <w:pPr>
              <w:spacing w:line="240" w:lineRule="auto"/>
              <w:jc w:val="right"/>
              <w:rPr>
                <w:rFonts w:ascii="Lato" w:hAnsi="Lato"/>
                <w:szCs w:val="22"/>
                <w:lang w:val="en-IE"/>
              </w:rPr>
            </w:pPr>
          </w:p>
        </w:tc>
        <w:tc>
          <w:tcPr>
            <w:tcW w:w="9423" w:type="dxa"/>
            <w:gridSpan w:val="5"/>
            <w:tcBorders>
              <w:top w:val="nil"/>
              <w:left w:val="nil"/>
              <w:bottom w:val="nil"/>
              <w:right w:val="nil"/>
            </w:tcBorders>
          </w:tcPr>
          <w:p w:rsidR="001B7AAB" w:rsidRPr="001D39EA" w:rsidRDefault="001B7AAB" w:rsidP="00417D23">
            <w:pPr>
              <w:spacing w:line="240" w:lineRule="auto"/>
              <w:jc w:val="both"/>
              <w:rPr>
                <w:rFonts w:ascii="Lato" w:hAnsi="Lato"/>
                <w:szCs w:val="22"/>
                <w:lang w:val="en-IE"/>
              </w:rPr>
            </w:pPr>
            <w:r w:rsidRPr="001D39EA">
              <w:rPr>
                <w:rFonts w:ascii="Lato" w:hAnsi="Lato"/>
                <w:szCs w:val="22"/>
                <w:lang w:val="en-IE"/>
              </w:rPr>
              <w:t>settlement</w:t>
            </w:r>
          </w:p>
        </w:tc>
        <w:tc>
          <w:tcPr>
            <w:tcW w:w="889" w:type="dxa"/>
            <w:gridSpan w:val="4"/>
            <w:tcBorders>
              <w:top w:val="single" w:sz="4" w:space="0" w:color="auto"/>
              <w:left w:val="nil"/>
              <w:bottom w:val="single" w:sz="4" w:space="0" w:color="auto"/>
              <w:right w:val="nil"/>
            </w:tcBorders>
          </w:tcPr>
          <w:p w:rsidR="001B7AAB" w:rsidRPr="001D39EA" w:rsidRDefault="001B7AAB">
            <w:pPr>
              <w:spacing w:line="240" w:lineRule="auto"/>
              <w:rPr>
                <w:rFonts w:ascii="Lato" w:hAnsi="Lato"/>
                <w:szCs w:val="22"/>
                <w:lang w:val="en-IE"/>
              </w:rPr>
            </w:pPr>
          </w:p>
        </w:tc>
      </w:tr>
      <w:tr w:rsidR="00791B15" w:rsidRPr="00DC0539"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c)</w:t>
            </w: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lang w:val="en-IE"/>
              </w:rPr>
            </w:pPr>
            <w:r w:rsidRPr="001D39EA">
              <w:rPr>
                <w:rFonts w:ascii="Lato" w:hAnsi="Lato"/>
                <w:szCs w:val="22"/>
                <w:lang w:val="en-IE"/>
              </w:rPr>
              <w:t xml:space="preserve">Disclose </w:t>
            </w:r>
            <w:r w:rsidR="001B7AAB" w:rsidRPr="001D39EA">
              <w:rPr>
                <w:rFonts w:ascii="Lato" w:hAnsi="Lato"/>
                <w:szCs w:val="22"/>
                <w:lang w:val="en-IE"/>
              </w:rPr>
              <w:t xml:space="preserve">(or insert a cross reference to the relevant section of the prospectus) </w:t>
            </w:r>
            <w:r w:rsidRPr="001D39EA">
              <w:rPr>
                <w:rFonts w:ascii="Lato" w:hAnsi="Lato"/>
                <w:szCs w:val="22"/>
                <w:lang w:val="en-IE"/>
              </w:rPr>
              <w:t xml:space="preserve">the minimum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1B7AAB" w:rsidRPr="00DC0539"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1B7AAB" w:rsidRPr="001D39EA" w:rsidRDefault="001B7AAB" w:rsidP="001F30BF">
            <w:pPr>
              <w:spacing w:line="240" w:lineRule="auto"/>
              <w:jc w:val="right"/>
              <w:rPr>
                <w:rFonts w:ascii="Lato" w:hAnsi="Lato"/>
                <w:szCs w:val="22"/>
                <w:lang w:val="en-IE"/>
              </w:rPr>
            </w:pPr>
          </w:p>
        </w:tc>
        <w:tc>
          <w:tcPr>
            <w:tcW w:w="9423" w:type="dxa"/>
            <w:gridSpan w:val="5"/>
            <w:tcBorders>
              <w:top w:val="nil"/>
              <w:left w:val="nil"/>
              <w:bottom w:val="nil"/>
              <w:right w:val="nil"/>
            </w:tcBorders>
          </w:tcPr>
          <w:p w:rsidR="001B7AAB" w:rsidRPr="001D39EA" w:rsidRDefault="0059751F" w:rsidP="00417D23">
            <w:pPr>
              <w:spacing w:line="240" w:lineRule="auto"/>
              <w:jc w:val="both"/>
              <w:rPr>
                <w:rFonts w:ascii="Lato" w:hAnsi="Lato"/>
                <w:szCs w:val="22"/>
                <w:lang w:val="en-IE"/>
              </w:rPr>
            </w:pPr>
            <w:r w:rsidRPr="00F72ED7">
              <w:rPr>
                <w:rFonts w:ascii="Lato" w:hAnsi="Lato"/>
                <w:szCs w:val="22"/>
                <w:lang w:val="en-IE"/>
              </w:rPr>
              <w:t xml:space="preserve">redemption </w:t>
            </w:r>
            <w:r w:rsidR="001B7AAB" w:rsidRPr="001D39EA">
              <w:rPr>
                <w:rFonts w:ascii="Lato" w:hAnsi="Lato"/>
                <w:szCs w:val="22"/>
                <w:lang w:val="en-IE"/>
              </w:rPr>
              <w:t>quotas</w:t>
            </w:r>
          </w:p>
        </w:tc>
        <w:tc>
          <w:tcPr>
            <w:tcW w:w="889" w:type="dxa"/>
            <w:gridSpan w:val="4"/>
            <w:tcBorders>
              <w:top w:val="single" w:sz="4" w:space="0" w:color="auto"/>
              <w:left w:val="nil"/>
              <w:bottom w:val="nil"/>
              <w:right w:val="nil"/>
            </w:tcBorders>
          </w:tcPr>
          <w:p w:rsidR="001B7AAB" w:rsidRPr="001D39EA" w:rsidRDefault="001B7AAB">
            <w:pPr>
              <w:spacing w:line="240" w:lineRule="auto"/>
              <w:rPr>
                <w:rFonts w:ascii="Lato" w:hAnsi="Lato"/>
                <w:szCs w:val="22"/>
                <w:lang w:val="en-IE"/>
              </w:rPr>
            </w:pPr>
          </w:p>
        </w:tc>
      </w:tr>
      <w:tr w:rsidR="00791B15" w:rsidRPr="00DC0539"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17D2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r w:rsidRPr="001D39EA">
              <w:rPr>
                <w:rFonts w:ascii="Lato" w:hAnsi="Lato"/>
                <w:szCs w:val="22"/>
                <w:lang w:val="en-IE"/>
              </w:rPr>
              <w:t>3.4.6</w:t>
            </w:r>
          </w:p>
        </w:tc>
        <w:tc>
          <w:tcPr>
            <w:tcW w:w="9423" w:type="dxa"/>
            <w:gridSpan w:val="5"/>
            <w:tcBorders>
              <w:top w:val="nil"/>
              <w:left w:val="nil"/>
              <w:bottom w:val="nil"/>
              <w:right w:val="nil"/>
            </w:tcBorders>
          </w:tcPr>
          <w:p w:rsidR="007C5AFE" w:rsidRPr="001D39EA" w:rsidRDefault="007C5AFE" w:rsidP="00F40625">
            <w:pPr>
              <w:spacing w:line="240" w:lineRule="auto"/>
              <w:jc w:val="both"/>
              <w:rPr>
                <w:rFonts w:ascii="Lato" w:hAnsi="Lato"/>
                <w:szCs w:val="22"/>
                <w:lang w:val="en-IE"/>
              </w:rPr>
            </w:pPr>
            <w:r w:rsidRPr="001D39EA">
              <w:rPr>
                <w:rFonts w:ascii="Lato" w:hAnsi="Lato"/>
                <w:szCs w:val="22"/>
              </w:rPr>
              <w:t xml:space="preserve">Settlement Period </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rsidP="001308E1">
            <w:pPr>
              <w:spacing w:line="240" w:lineRule="auto"/>
              <w:jc w:val="both"/>
              <w:rPr>
                <w:rFonts w:ascii="Lato" w:hAnsi="Lato"/>
                <w:szCs w:val="22"/>
              </w:rPr>
            </w:pPr>
            <w:r w:rsidRPr="001D39EA">
              <w:rPr>
                <w:rFonts w:ascii="Lato" w:hAnsi="Lato"/>
                <w:szCs w:val="22"/>
              </w:rPr>
              <w:t>Disclose the settlement period of the Qualifying Investor AIF</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971E09"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971E09" w:rsidRPr="001D39EA" w:rsidRDefault="00971E09" w:rsidP="001F30BF">
            <w:pPr>
              <w:spacing w:line="240" w:lineRule="auto"/>
              <w:jc w:val="right"/>
              <w:rPr>
                <w:rFonts w:ascii="Lato" w:hAnsi="Lato"/>
                <w:szCs w:val="22"/>
                <w:lang w:val="en-IE"/>
              </w:rPr>
            </w:pPr>
          </w:p>
        </w:tc>
        <w:tc>
          <w:tcPr>
            <w:tcW w:w="9423" w:type="dxa"/>
            <w:gridSpan w:val="5"/>
            <w:tcBorders>
              <w:top w:val="nil"/>
              <w:left w:val="nil"/>
              <w:bottom w:val="nil"/>
              <w:right w:val="single" w:sz="4" w:space="0" w:color="auto"/>
            </w:tcBorders>
          </w:tcPr>
          <w:p w:rsidR="00971E09" w:rsidRPr="001D39EA" w:rsidRDefault="00971E09" w:rsidP="001308E1">
            <w:pPr>
              <w:spacing w:line="240" w:lineRule="auto"/>
              <w:jc w:val="both"/>
              <w:rPr>
                <w:rFonts w:ascii="Lato" w:hAnsi="Lato"/>
                <w:szCs w:val="22"/>
              </w:rPr>
            </w:pPr>
          </w:p>
        </w:tc>
        <w:tc>
          <w:tcPr>
            <w:tcW w:w="889" w:type="dxa"/>
            <w:gridSpan w:val="4"/>
            <w:tcBorders>
              <w:top w:val="single" w:sz="4" w:space="0" w:color="auto"/>
              <w:left w:val="single" w:sz="4" w:space="0" w:color="auto"/>
              <w:bottom w:val="single" w:sz="4" w:space="0" w:color="auto"/>
              <w:right w:val="single" w:sz="4" w:space="0" w:color="auto"/>
            </w:tcBorders>
          </w:tcPr>
          <w:p w:rsidR="00971E09" w:rsidRPr="001D39EA" w:rsidRDefault="00971E09">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rPr>
            </w:pPr>
            <w:r w:rsidRPr="001D39EA">
              <w:rPr>
                <w:rFonts w:ascii="Lato" w:hAnsi="Lato"/>
                <w:szCs w:val="22"/>
              </w:rPr>
              <w:t>Open-ended Qualifying Investor AIF</w:t>
            </w: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r w:rsidRPr="001D39EA">
              <w:rPr>
                <w:rFonts w:ascii="Lato" w:hAnsi="Lato"/>
                <w:szCs w:val="22"/>
                <w:lang w:val="en-IE"/>
              </w:rPr>
              <w:t>(i)</w:t>
            </w:r>
          </w:p>
        </w:tc>
        <w:tc>
          <w:tcPr>
            <w:tcW w:w="9423" w:type="dxa"/>
            <w:gridSpan w:val="5"/>
            <w:tcBorders>
              <w:top w:val="nil"/>
              <w:left w:val="nil"/>
              <w:bottom w:val="nil"/>
              <w:right w:val="single" w:sz="4" w:space="0" w:color="auto"/>
            </w:tcBorders>
          </w:tcPr>
          <w:p w:rsidR="007C5AFE" w:rsidRPr="001D39EA" w:rsidRDefault="007C5AFE" w:rsidP="001308E1">
            <w:pPr>
              <w:spacing w:line="240" w:lineRule="auto"/>
              <w:jc w:val="both"/>
              <w:rPr>
                <w:rFonts w:ascii="Lato" w:hAnsi="Lato"/>
                <w:szCs w:val="22"/>
              </w:rPr>
            </w:pPr>
            <w:r w:rsidRPr="001D39EA">
              <w:rPr>
                <w:rFonts w:ascii="Lato" w:hAnsi="Lato"/>
                <w:szCs w:val="22"/>
              </w:rPr>
              <w:t>Confirm that the period must not exceed 90 calendar days from submission of redemption</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rPr>
            </w:pPr>
            <w:r w:rsidRPr="001D39EA">
              <w:rPr>
                <w:rFonts w:ascii="Lato" w:hAnsi="Lato"/>
                <w:szCs w:val="22"/>
              </w:rPr>
              <w:t>request to the payment of settlement proceeds</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8279D5">
            <w:pPr>
              <w:spacing w:line="240" w:lineRule="auto"/>
              <w:jc w:val="both"/>
              <w:rPr>
                <w:rFonts w:ascii="Lato" w:hAnsi="Lato"/>
                <w:szCs w:val="22"/>
              </w:rPr>
            </w:pPr>
            <w:r w:rsidRPr="001D39EA">
              <w:rPr>
                <w:rFonts w:ascii="Lato" w:hAnsi="Lato"/>
                <w:szCs w:val="22"/>
              </w:rPr>
              <w:t xml:space="preserve">Note: the period in 3.4.6 b(i) can be extended to 95 calendar days for a Qualifying Investor </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rPr>
            </w:pPr>
            <w:r w:rsidRPr="001D39EA">
              <w:rPr>
                <w:rFonts w:ascii="Lato" w:hAnsi="Lato"/>
                <w:szCs w:val="22"/>
              </w:rPr>
              <w:t>AIF which invests in other investment funds, including a Qualifying Investor AIF which</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rPr>
            </w:pPr>
            <w:r w:rsidRPr="001D39EA">
              <w:rPr>
                <w:rFonts w:ascii="Lato" w:hAnsi="Lato"/>
                <w:szCs w:val="22"/>
              </w:rPr>
              <w:t xml:space="preserve">provides for dealing on a more frequent basis </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r w:rsidRPr="001D39EA">
              <w:rPr>
                <w:rFonts w:ascii="Lato" w:hAnsi="Lato"/>
                <w:szCs w:val="22"/>
                <w:lang w:val="en-IE"/>
              </w:rPr>
              <w:t>(ii)</w:t>
            </w:r>
          </w:p>
        </w:tc>
        <w:tc>
          <w:tcPr>
            <w:tcW w:w="9423" w:type="dxa"/>
            <w:gridSpan w:val="5"/>
            <w:tcBorders>
              <w:top w:val="nil"/>
              <w:left w:val="nil"/>
              <w:bottom w:val="nil"/>
              <w:right w:val="single" w:sz="4" w:space="0" w:color="auto"/>
            </w:tcBorders>
          </w:tcPr>
          <w:p w:rsidR="007C5AFE" w:rsidRPr="001D39EA" w:rsidRDefault="007C5AFE" w:rsidP="001E644B">
            <w:pPr>
              <w:spacing w:line="240" w:lineRule="auto"/>
              <w:jc w:val="both"/>
              <w:rPr>
                <w:rFonts w:ascii="Lato" w:hAnsi="Lato"/>
                <w:szCs w:val="22"/>
                <w:lang w:val="en-IE"/>
              </w:rPr>
            </w:pPr>
            <w:r w:rsidRPr="001D39EA">
              <w:rPr>
                <w:rFonts w:ascii="Lato" w:hAnsi="Lato"/>
                <w:szCs w:val="22"/>
              </w:rPr>
              <w:t>Where the Qualifying Investor AIF provides for a period of 95 calendar days for the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D22A00">
            <w:pPr>
              <w:spacing w:line="240" w:lineRule="auto"/>
              <w:jc w:val="both"/>
              <w:rPr>
                <w:rFonts w:ascii="Lato" w:hAnsi="Lato"/>
                <w:szCs w:val="22"/>
                <w:lang w:val="en-IE"/>
              </w:rPr>
            </w:pPr>
            <w:r w:rsidRPr="001D39EA">
              <w:rPr>
                <w:rFonts w:ascii="Lato" w:hAnsi="Lato"/>
                <w:szCs w:val="22"/>
              </w:rPr>
              <w:t>payment of redemption proceeds, disclose a prominent statement highlighting</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E644B">
            <w:pPr>
              <w:spacing w:line="240" w:lineRule="auto"/>
              <w:jc w:val="both"/>
              <w:rPr>
                <w:rFonts w:ascii="Lato" w:hAnsi="Lato"/>
                <w:szCs w:val="22"/>
                <w:lang w:val="en-IE"/>
              </w:rPr>
            </w:pPr>
            <w:r w:rsidRPr="001D39EA">
              <w:rPr>
                <w:rFonts w:ascii="Lato" w:hAnsi="Lato"/>
                <w:szCs w:val="22"/>
              </w:rPr>
              <w:t>the fact that while the Qualifying Investor AIF deals, for example, on a monthly</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E644B">
            <w:pPr>
              <w:spacing w:line="240" w:lineRule="auto"/>
              <w:jc w:val="both"/>
              <w:rPr>
                <w:rFonts w:ascii="Lato" w:hAnsi="Lato"/>
                <w:szCs w:val="22"/>
                <w:lang w:val="en-IE"/>
              </w:rPr>
            </w:pPr>
            <w:r w:rsidRPr="001D39EA">
              <w:rPr>
                <w:rFonts w:ascii="Lato" w:hAnsi="Lato"/>
                <w:szCs w:val="22"/>
              </w:rPr>
              <w:t>basis there may be times when redemption proceeds are paid on a quarterly basis</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F40625">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c)</w:t>
            </w: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lang w:val="en-IE"/>
              </w:rPr>
            </w:pPr>
            <w:r w:rsidRPr="001D39EA">
              <w:rPr>
                <w:rFonts w:ascii="Lato" w:hAnsi="Lato"/>
                <w:szCs w:val="22"/>
                <w:lang w:val="en-IE"/>
              </w:rPr>
              <w:t>Open-ended with limited liquidity Qualifying Investor AIF</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D2CC6" w:rsidP="007D2CC6">
            <w:pPr>
              <w:spacing w:line="240" w:lineRule="auto"/>
              <w:jc w:val="right"/>
              <w:rPr>
                <w:rFonts w:ascii="Lato" w:hAnsi="Lato"/>
                <w:szCs w:val="22"/>
                <w:lang w:val="en-IE"/>
              </w:rPr>
            </w:pPr>
            <w:r w:rsidRPr="001D39EA">
              <w:rPr>
                <w:rFonts w:ascii="Lato" w:hAnsi="Lato"/>
                <w:szCs w:val="22"/>
                <w:lang w:val="en-IE"/>
              </w:rPr>
              <w:t>(i)</w:t>
            </w:r>
          </w:p>
        </w:tc>
        <w:tc>
          <w:tcPr>
            <w:tcW w:w="9423" w:type="dxa"/>
            <w:gridSpan w:val="5"/>
            <w:tcBorders>
              <w:top w:val="nil"/>
              <w:left w:val="nil"/>
              <w:bottom w:val="nil"/>
              <w:right w:val="single" w:sz="4" w:space="0" w:color="auto"/>
            </w:tcBorders>
          </w:tcPr>
          <w:p w:rsidR="007C5AFE" w:rsidRPr="001D39EA" w:rsidRDefault="007C5AFE" w:rsidP="001308E1">
            <w:pPr>
              <w:spacing w:line="240" w:lineRule="auto"/>
              <w:jc w:val="both"/>
              <w:rPr>
                <w:rFonts w:ascii="Lato" w:hAnsi="Lato"/>
                <w:szCs w:val="22"/>
                <w:lang w:val="en-IE"/>
              </w:rPr>
            </w:pPr>
            <w:r w:rsidRPr="001D39EA">
              <w:rPr>
                <w:rFonts w:ascii="Lato" w:hAnsi="Lato"/>
                <w:szCs w:val="22"/>
                <w:lang w:val="en-IE"/>
              </w:rPr>
              <w:t xml:space="preserve">Where a Qualifying Investor AIF offers redemption and/or settlement facilities on a less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7D2CC6">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lang w:val="en-IE"/>
              </w:rPr>
            </w:pPr>
            <w:r w:rsidRPr="001D39EA">
              <w:rPr>
                <w:rFonts w:ascii="Lato" w:hAnsi="Lato"/>
                <w:szCs w:val="22"/>
                <w:lang w:val="en-IE"/>
              </w:rPr>
              <w:t>than quarterly basis; or</w:t>
            </w: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D2CC6" w:rsidP="007D2CC6">
            <w:pPr>
              <w:spacing w:line="240" w:lineRule="auto"/>
              <w:jc w:val="right"/>
              <w:rPr>
                <w:rFonts w:ascii="Lato" w:hAnsi="Lato"/>
                <w:szCs w:val="22"/>
                <w:lang w:val="en-IE"/>
              </w:rPr>
            </w:pPr>
            <w:r w:rsidRPr="001D39EA">
              <w:rPr>
                <w:rFonts w:ascii="Lato" w:hAnsi="Lato"/>
                <w:szCs w:val="22"/>
                <w:lang w:val="en-IE"/>
              </w:rPr>
              <w:t>(ii)</w:t>
            </w:r>
          </w:p>
        </w:tc>
        <w:tc>
          <w:tcPr>
            <w:tcW w:w="9423" w:type="dxa"/>
            <w:gridSpan w:val="5"/>
            <w:tcBorders>
              <w:top w:val="nil"/>
              <w:left w:val="nil"/>
              <w:bottom w:val="nil"/>
              <w:right w:val="single" w:sz="4" w:space="0" w:color="auto"/>
            </w:tcBorders>
          </w:tcPr>
          <w:p w:rsidR="007C5AFE" w:rsidRPr="001D39EA" w:rsidRDefault="007C5AFE" w:rsidP="001308E1">
            <w:pPr>
              <w:spacing w:line="240" w:lineRule="auto"/>
              <w:jc w:val="both"/>
              <w:rPr>
                <w:rFonts w:ascii="Lato" w:hAnsi="Lato"/>
                <w:szCs w:val="22"/>
                <w:lang w:val="en-IE"/>
              </w:rPr>
            </w:pPr>
            <w:r w:rsidRPr="001D39EA">
              <w:rPr>
                <w:rFonts w:ascii="Lato" w:hAnsi="Lato"/>
                <w:szCs w:val="22"/>
                <w:lang w:val="en-IE"/>
              </w:rPr>
              <w:t>Provides for a period of greater than 90 days between the dealing deadline and the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rsidP="007D2CC6">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lang w:val="en-IE"/>
              </w:rPr>
            </w:pPr>
            <w:r w:rsidRPr="001D39EA">
              <w:rPr>
                <w:rFonts w:ascii="Lato" w:hAnsi="Lato"/>
                <w:szCs w:val="22"/>
                <w:lang w:val="en-IE"/>
              </w:rPr>
              <w:t>payment of redemption proceeds;</w:t>
            </w: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D2CC6" w:rsidP="007D2CC6">
            <w:pPr>
              <w:spacing w:line="240" w:lineRule="auto"/>
              <w:jc w:val="right"/>
              <w:rPr>
                <w:rFonts w:ascii="Lato" w:hAnsi="Lato"/>
                <w:szCs w:val="22"/>
                <w:lang w:val="en-IE"/>
              </w:rPr>
            </w:pPr>
            <w:r w:rsidRPr="001D39EA">
              <w:rPr>
                <w:rFonts w:ascii="Lato" w:hAnsi="Lato"/>
                <w:szCs w:val="22"/>
                <w:lang w:val="en-IE"/>
              </w:rPr>
              <w:t>(iii)</w:t>
            </w:r>
          </w:p>
        </w:tc>
        <w:tc>
          <w:tcPr>
            <w:tcW w:w="9423" w:type="dxa"/>
            <w:gridSpan w:val="5"/>
            <w:tcBorders>
              <w:top w:val="nil"/>
              <w:left w:val="nil"/>
              <w:bottom w:val="nil"/>
              <w:right w:val="single" w:sz="4" w:space="0" w:color="auto"/>
            </w:tcBorders>
          </w:tcPr>
          <w:p w:rsidR="007C5AFE" w:rsidRPr="001D39EA" w:rsidRDefault="007D2CC6" w:rsidP="00581BFC">
            <w:pPr>
              <w:spacing w:line="240" w:lineRule="auto"/>
              <w:jc w:val="both"/>
              <w:rPr>
                <w:rFonts w:ascii="Lato" w:hAnsi="Lato"/>
                <w:szCs w:val="22"/>
                <w:lang w:val="en-IE"/>
              </w:rPr>
            </w:pPr>
            <w:r w:rsidRPr="001D39EA">
              <w:rPr>
                <w:rFonts w:ascii="Lato" w:hAnsi="Lato"/>
                <w:szCs w:val="22"/>
                <w:lang w:val="en-IE"/>
              </w:rPr>
              <w:t xml:space="preserve">Confirm </w:t>
            </w:r>
            <w:r w:rsidR="007C5AFE" w:rsidRPr="001D39EA">
              <w:rPr>
                <w:rFonts w:ascii="Lato" w:hAnsi="Lato"/>
                <w:szCs w:val="22"/>
                <w:lang w:val="en-IE"/>
              </w:rPr>
              <w:t xml:space="preserve">that the Qualifying Investor AIF classifies </w:t>
            </w:r>
            <w:r w:rsidR="00280232" w:rsidRPr="001D39EA">
              <w:rPr>
                <w:rFonts w:ascii="Lato" w:hAnsi="Lato"/>
                <w:szCs w:val="22"/>
                <w:lang w:val="en-IE"/>
              </w:rPr>
              <w:t>itself</w:t>
            </w:r>
            <w:r w:rsidR="007C5AFE" w:rsidRPr="001D39EA">
              <w:rPr>
                <w:rFonts w:ascii="Lato" w:hAnsi="Lato"/>
                <w:szCs w:val="22"/>
                <w:lang w:val="en-IE"/>
              </w:rPr>
              <w:t xml:space="preserve"> as open ended with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F1455" w:rsidP="008279D5">
            <w:pPr>
              <w:spacing w:line="240" w:lineRule="auto"/>
              <w:jc w:val="both"/>
              <w:rPr>
                <w:rFonts w:ascii="Lato" w:hAnsi="Lato"/>
                <w:szCs w:val="22"/>
                <w:lang w:val="en-IE"/>
              </w:rPr>
            </w:pPr>
            <w:r w:rsidRPr="001D39EA">
              <w:rPr>
                <w:rFonts w:ascii="Lato" w:hAnsi="Lato"/>
                <w:szCs w:val="22"/>
                <w:lang w:val="en-IE"/>
              </w:rPr>
              <w:t xml:space="preserve">limited </w:t>
            </w:r>
            <w:r w:rsidR="007C5AFE" w:rsidRPr="001D39EA">
              <w:rPr>
                <w:rFonts w:ascii="Lato" w:hAnsi="Lato"/>
                <w:szCs w:val="22"/>
                <w:lang w:val="en-IE"/>
              </w:rPr>
              <w:t>liquidity</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1308E1">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pStyle w:val="Heading1"/>
              <w:spacing w:before="0" w:after="0" w:line="240" w:lineRule="auto"/>
              <w:jc w:val="both"/>
              <w:rPr>
                <w:rFonts w:ascii="Lato" w:hAnsi="Lato"/>
                <w:color w:val="auto"/>
                <w:sz w:val="22"/>
                <w:szCs w:val="22"/>
              </w:rPr>
            </w:pPr>
            <w:r w:rsidRPr="001D39EA">
              <w:rPr>
                <w:rFonts w:ascii="Lato" w:hAnsi="Lato"/>
                <w:color w:val="auto"/>
                <w:sz w:val="22"/>
                <w:szCs w:val="22"/>
              </w:rPr>
              <w:t>Redemptions in Specie</w:t>
            </w:r>
          </w:p>
        </w:tc>
        <w:tc>
          <w:tcPr>
            <w:tcW w:w="889" w:type="dxa"/>
            <w:gridSpan w:val="4"/>
            <w:tcBorders>
              <w:top w:val="nil"/>
              <w:left w:val="nil"/>
              <w:bottom w:val="single" w:sz="4" w:space="0" w:color="auto"/>
              <w:right w:val="nil"/>
            </w:tcBorders>
          </w:tcPr>
          <w:p w:rsidR="007C5AFE" w:rsidRPr="001D39EA" w:rsidRDefault="007C5AFE" w:rsidP="00433EF3">
            <w:pPr>
              <w:spacing w:line="240" w:lineRule="auto"/>
              <w:rPr>
                <w:rFonts w:ascii="Lato" w:hAnsi="Lato"/>
                <w:szCs w:val="22"/>
                <w:lang w:val="en-IE"/>
              </w:rPr>
            </w:pPr>
            <w:r w:rsidRPr="001D39EA">
              <w:rPr>
                <w:rFonts w:ascii="Lato" w:hAnsi="Lato"/>
                <w:szCs w:val="22"/>
                <w:lang w:val="en-IE"/>
              </w:rPr>
              <w:t>Yes/No</w:t>
            </w: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5"/>
        </w:trPr>
        <w:tc>
          <w:tcPr>
            <w:tcW w:w="925" w:type="dxa"/>
            <w:vMerge w:val="restart"/>
            <w:tcBorders>
              <w:top w:val="nil"/>
              <w:left w:val="nil"/>
              <w:right w:val="nil"/>
            </w:tcBorders>
          </w:tcPr>
          <w:p w:rsidR="007C5AFE" w:rsidRPr="001D39EA" w:rsidRDefault="007C5AFE" w:rsidP="00CD0EF0">
            <w:pPr>
              <w:spacing w:line="240" w:lineRule="auto"/>
              <w:rPr>
                <w:rFonts w:ascii="Lato" w:hAnsi="Lato"/>
                <w:szCs w:val="22"/>
                <w:lang w:val="en-IE"/>
              </w:rPr>
            </w:pPr>
            <w:r w:rsidRPr="001D39EA">
              <w:rPr>
                <w:rFonts w:ascii="Lato" w:hAnsi="Lato"/>
                <w:szCs w:val="22"/>
                <w:lang w:val="en-IE"/>
              </w:rPr>
              <w:t>3.4.7</w:t>
            </w:r>
          </w:p>
        </w:tc>
        <w:tc>
          <w:tcPr>
            <w:tcW w:w="9423" w:type="dxa"/>
            <w:gridSpan w:val="5"/>
            <w:vMerge w:val="restart"/>
            <w:tcBorders>
              <w:top w:val="nil"/>
              <w:left w:val="nil"/>
              <w:right w:val="single" w:sz="4" w:space="0" w:color="auto"/>
            </w:tcBorders>
          </w:tcPr>
          <w:p w:rsidR="007C5AFE" w:rsidRPr="001D39EA" w:rsidRDefault="00872757" w:rsidP="00433EF3">
            <w:pPr>
              <w:spacing w:line="240" w:lineRule="auto"/>
              <w:jc w:val="both"/>
              <w:rPr>
                <w:rFonts w:ascii="Lato" w:hAnsi="Lato"/>
                <w:szCs w:val="22"/>
                <w:lang w:val="en-IE"/>
              </w:rPr>
            </w:pPr>
            <w:r w:rsidRPr="001D39EA">
              <w:rPr>
                <w:rFonts w:ascii="Lato" w:hAnsi="Lato"/>
                <w:szCs w:val="22"/>
                <w:lang w:val="en-IE"/>
              </w:rPr>
              <w:t>Does the Instrument of Incorporation</w:t>
            </w:r>
            <w:r w:rsidR="007C5AFE" w:rsidRPr="001D39EA">
              <w:rPr>
                <w:rFonts w:ascii="Lato" w:hAnsi="Lato"/>
                <w:szCs w:val="22"/>
                <w:lang w:val="en-IE"/>
              </w:rPr>
              <w:t xml:space="preserve"> provide for redemptions in specie? If yes provide that: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vMerge/>
            <w:tcBorders>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vMerge/>
            <w:tcBorders>
              <w:left w:val="nil"/>
              <w:bottom w:val="nil"/>
              <w:right w:val="nil"/>
            </w:tcBorders>
          </w:tcPr>
          <w:p w:rsidR="007C5AFE" w:rsidRPr="001D39EA" w:rsidRDefault="007C5AFE" w:rsidP="00433EF3">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5"/>
        </w:trPr>
        <w:tc>
          <w:tcPr>
            <w:tcW w:w="925" w:type="dxa"/>
            <w:vMerge w:val="restart"/>
            <w:tcBorders>
              <w:top w:val="nil"/>
              <w:left w:val="nil"/>
              <w:right w:val="nil"/>
            </w:tcBorders>
          </w:tcPr>
          <w:p w:rsidR="007C5AFE" w:rsidRPr="001D39EA" w:rsidRDefault="007C5AFE" w:rsidP="00433EF3">
            <w:pPr>
              <w:spacing w:line="240" w:lineRule="auto"/>
              <w:jc w:val="right"/>
              <w:rPr>
                <w:rFonts w:ascii="Lato" w:hAnsi="Lato"/>
                <w:szCs w:val="22"/>
                <w:lang w:val="en-IE"/>
              </w:rPr>
            </w:pPr>
            <w:r w:rsidRPr="001D39EA">
              <w:rPr>
                <w:rFonts w:ascii="Lato" w:hAnsi="Lato"/>
                <w:szCs w:val="22"/>
              </w:rPr>
              <w:t xml:space="preserve">a) </w:t>
            </w:r>
          </w:p>
        </w:tc>
        <w:tc>
          <w:tcPr>
            <w:tcW w:w="9423" w:type="dxa"/>
            <w:gridSpan w:val="5"/>
            <w:vMerge w:val="restart"/>
            <w:tcBorders>
              <w:top w:val="nil"/>
              <w:left w:val="nil"/>
              <w:right w:val="single" w:sz="4" w:space="0" w:color="auto"/>
            </w:tcBorders>
          </w:tcPr>
          <w:tbl>
            <w:tblPr>
              <w:tblW w:w="9316" w:type="dxa"/>
              <w:tblLayout w:type="fixed"/>
              <w:tblLook w:val="04A0" w:firstRow="1" w:lastRow="0" w:firstColumn="1" w:lastColumn="0" w:noHBand="0" w:noVBand="1"/>
            </w:tblPr>
            <w:tblGrid>
              <w:gridCol w:w="9316"/>
            </w:tblGrid>
            <w:tr w:rsidR="002E0412" w:rsidRPr="00DC0539" w:rsidTr="0062628E">
              <w:tc>
                <w:tcPr>
                  <w:tcW w:w="9316" w:type="dxa"/>
                  <w:hideMark/>
                </w:tcPr>
                <w:p w:rsidR="002E0412" w:rsidRPr="001D39EA" w:rsidRDefault="007C5AFE" w:rsidP="00971E09">
                  <w:pPr>
                    <w:spacing w:line="240" w:lineRule="auto"/>
                    <w:rPr>
                      <w:rFonts w:ascii="Lato" w:hAnsi="Lato"/>
                      <w:szCs w:val="22"/>
                    </w:rPr>
                  </w:pPr>
                  <w:r w:rsidRPr="001D39EA">
                    <w:rPr>
                      <w:rFonts w:ascii="Lato" w:hAnsi="Lato"/>
                      <w:szCs w:val="22"/>
                    </w:rPr>
                    <w:t xml:space="preserve">Redemption in specie is at the discretion of the </w:t>
                  </w:r>
                  <w:r w:rsidRPr="001D39EA">
                    <w:rPr>
                      <w:rFonts w:ascii="Lato" w:hAnsi="Lato"/>
                      <w:szCs w:val="22"/>
                      <w:lang w:val="en-IE"/>
                    </w:rPr>
                    <w:t xml:space="preserve">Qualifying Investor </w:t>
                  </w:r>
                  <w:r w:rsidRPr="001D39EA">
                    <w:rPr>
                      <w:rFonts w:ascii="Lato" w:hAnsi="Lato"/>
                      <w:szCs w:val="22"/>
                    </w:rPr>
                    <w:t xml:space="preserve">AIF </w:t>
                  </w:r>
                  <w:r w:rsidRPr="001D39EA">
                    <w:rPr>
                      <w:rFonts w:ascii="Lato" w:hAnsi="Lato"/>
                      <w:szCs w:val="22"/>
                      <w:u w:val="single"/>
                    </w:rPr>
                    <w:t>and</w:t>
                  </w:r>
                  <w:r w:rsidRPr="001D39EA">
                    <w:rPr>
                      <w:rFonts w:ascii="Lato" w:hAnsi="Lato"/>
                      <w:szCs w:val="22"/>
                    </w:rPr>
                    <w:t xml:space="preserve"> with the consent of the redeeming shareholder</w:t>
                  </w:r>
                  <w:r w:rsidR="002E0412" w:rsidRPr="001D39EA">
                    <w:rPr>
                      <w:rFonts w:ascii="Lato" w:hAnsi="Lato"/>
                      <w:szCs w:val="22"/>
                    </w:rPr>
                    <w:t xml:space="preserve"> (n/a for exchange traded fund where the original subscription</w:t>
                  </w:r>
                  <w:r w:rsidR="00B13292" w:rsidRPr="001D39EA">
                    <w:rPr>
                      <w:rFonts w:ascii="Lato" w:hAnsi="Lato"/>
                      <w:szCs w:val="22"/>
                    </w:rPr>
                    <w:t xml:space="preserve"> was made in specie)</w:t>
                  </w:r>
                  <w:r w:rsidR="002E0412" w:rsidRPr="001D39EA">
                    <w:rPr>
                      <w:rFonts w:ascii="Lato" w:hAnsi="Lato"/>
                      <w:szCs w:val="22"/>
                    </w:rPr>
                    <w:t xml:space="preserve"> </w:t>
                  </w:r>
                </w:p>
              </w:tc>
            </w:tr>
            <w:tr w:rsidR="002E0412" w:rsidRPr="00DC0539" w:rsidTr="0062628E">
              <w:tc>
                <w:tcPr>
                  <w:tcW w:w="9316" w:type="dxa"/>
                  <w:hideMark/>
                </w:tcPr>
                <w:p w:rsidR="002E0412" w:rsidRPr="001D39EA" w:rsidRDefault="002E0412" w:rsidP="00971E09">
                  <w:pPr>
                    <w:spacing w:line="240" w:lineRule="auto"/>
                    <w:rPr>
                      <w:rFonts w:ascii="Lato" w:hAnsi="Lato"/>
                      <w:szCs w:val="22"/>
                    </w:rPr>
                  </w:pPr>
                </w:p>
              </w:tc>
            </w:tr>
          </w:tbl>
          <w:p w:rsidR="007C5AFE" w:rsidRPr="001D39EA" w:rsidRDefault="007C5AFE" w:rsidP="00FD02C7">
            <w:pPr>
              <w:spacing w:line="240" w:lineRule="auto"/>
              <w:jc w:val="both"/>
              <w:rPr>
                <w:rFonts w:ascii="Lato" w:hAnsi="Lato"/>
                <w:szCs w:val="22"/>
                <w:lang w:val="en-IE"/>
              </w:rPr>
            </w:pP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vMerge/>
            <w:tcBorders>
              <w:left w:val="nil"/>
              <w:bottom w:val="nil"/>
              <w:right w:val="nil"/>
            </w:tcBorders>
          </w:tcPr>
          <w:p w:rsidR="007C5AFE" w:rsidRPr="001D39EA" w:rsidRDefault="007C5AFE" w:rsidP="00433EF3">
            <w:pPr>
              <w:spacing w:line="240" w:lineRule="auto"/>
              <w:jc w:val="right"/>
              <w:rPr>
                <w:rFonts w:ascii="Lato" w:hAnsi="Lato"/>
                <w:szCs w:val="22"/>
              </w:rPr>
            </w:pPr>
          </w:p>
        </w:tc>
        <w:tc>
          <w:tcPr>
            <w:tcW w:w="9423" w:type="dxa"/>
            <w:gridSpan w:val="5"/>
            <w:vMerge/>
            <w:tcBorders>
              <w:left w:val="nil"/>
              <w:bottom w:val="nil"/>
              <w:right w:val="nil"/>
            </w:tcBorders>
          </w:tcPr>
          <w:p w:rsidR="007C5AFE" w:rsidRPr="001D39EA" w:rsidRDefault="007C5AFE" w:rsidP="00433EF3">
            <w:pPr>
              <w:spacing w:line="240" w:lineRule="auto"/>
              <w:jc w:val="both"/>
              <w:rPr>
                <w:rFonts w:ascii="Lato" w:hAnsi="Lato"/>
                <w:szCs w:val="22"/>
              </w:rPr>
            </w:pPr>
          </w:p>
        </w:tc>
        <w:tc>
          <w:tcPr>
            <w:tcW w:w="889" w:type="dxa"/>
            <w:gridSpan w:val="4"/>
            <w:tcBorders>
              <w:top w:val="single" w:sz="4" w:space="0" w:color="auto"/>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jc w:val="right"/>
              <w:rPr>
                <w:rFonts w:ascii="Lato" w:hAnsi="Lato"/>
                <w:szCs w:val="22"/>
                <w:lang w:val="en-IE"/>
              </w:rPr>
            </w:pPr>
            <w:r w:rsidRPr="001D39EA">
              <w:rPr>
                <w:rFonts w:ascii="Lato" w:hAnsi="Lato"/>
                <w:szCs w:val="22"/>
              </w:rPr>
              <w:t xml:space="preserve">b) </w:t>
            </w:r>
          </w:p>
        </w:tc>
        <w:tc>
          <w:tcPr>
            <w:tcW w:w="9423" w:type="dxa"/>
            <w:gridSpan w:val="5"/>
            <w:tcBorders>
              <w:top w:val="nil"/>
              <w:left w:val="nil"/>
              <w:bottom w:val="nil"/>
              <w:right w:val="single" w:sz="4" w:space="0" w:color="auto"/>
            </w:tcBorders>
          </w:tcPr>
          <w:p w:rsidR="007C5AFE" w:rsidRPr="001D39EA" w:rsidRDefault="007C5AFE" w:rsidP="00FD02C7">
            <w:pPr>
              <w:spacing w:line="240" w:lineRule="auto"/>
              <w:jc w:val="both"/>
              <w:rPr>
                <w:rFonts w:ascii="Lato" w:hAnsi="Lato"/>
                <w:szCs w:val="22"/>
                <w:lang w:val="en-IE"/>
              </w:rPr>
            </w:pPr>
            <w:r w:rsidRPr="001D39EA">
              <w:rPr>
                <w:rFonts w:ascii="Lato" w:hAnsi="Lato"/>
                <w:szCs w:val="22"/>
              </w:rPr>
              <w:t xml:space="preserve">Asset allocation is subject to the approval of the depositary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307"/>
        </w:trPr>
        <w:tc>
          <w:tcPr>
            <w:tcW w:w="925" w:type="dxa"/>
            <w:vMerge w:val="restart"/>
            <w:tcBorders>
              <w:top w:val="nil"/>
              <w:left w:val="nil"/>
              <w:bottom w:val="nil"/>
              <w:right w:val="nil"/>
            </w:tcBorders>
          </w:tcPr>
          <w:p w:rsidR="007C5AFE" w:rsidRPr="001D39EA" w:rsidRDefault="007C5AFE" w:rsidP="00433EF3">
            <w:pPr>
              <w:spacing w:line="240" w:lineRule="auto"/>
              <w:jc w:val="right"/>
              <w:rPr>
                <w:rFonts w:ascii="Lato" w:hAnsi="Lato"/>
                <w:szCs w:val="22"/>
                <w:lang w:val="en-IE"/>
              </w:rPr>
            </w:pPr>
            <w:r w:rsidRPr="001D39EA">
              <w:rPr>
                <w:rFonts w:ascii="Lato" w:hAnsi="Lato"/>
                <w:szCs w:val="22"/>
              </w:rPr>
              <w:t>c)</w:t>
            </w:r>
          </w:p>
        </w:tc>
        <w:tc>
          <w:tcPr>
            <w:tcW w:w="9423" w:type="dxa"/>
            <w:gridSpan w:val="5"/>
            <w:vMerge w:val="restart"/>
            <w:tcBorders>
              <w:top w:val="nil"/>
              <w:left w:val="nil"/>
              <w:bottom w:val="nil"/>
              <w:right w:val="single" w:sz="4" w:space="0" w:color="auto"/>
            </w:tcBorders>
          </w:tcPr>
          <w:tbl>
            <w:tblPr>
              <w:tblW w:w="9316" w:type="dxa"/>
              <w:tblLayout w:type="fixed"/>
              <w:tblLook w:val="04A0" w:firstRow="1" w:lastRow="0" w:firstColumn="1" w:lastColumn="0" w:noHBand="0" w:noVBand="1"/>
            </w:tblPr>
            <w:tblGrid>
              <w:gridCol w:w="9316"/>
            </w:tblGrid>
            <w:tr w:rsidR="002E0412" w:rsidRPr="00DC0539" w:rsidTr="0062628E">
              <w:tc>
                <w:tcPr>
                  <w:tcW w:w="9316" w:type="dxa"/>
                  <w:hideMark/>
                </w:tcPr>
                <w:p w:rsidR="002E0412" w:rsidRPr="001D39EA" w:rsidRDefault="007C5AFE" w:rsidP="00B13292">
                  <w:pPr>
                    <w:spacing w:line="240" w:lineRule="auto"/>
                    <w:rPr>
                      <w:rFonts w:ascii="Lato" w:hAnsi="Lato"/>
                      <w:szCs w:val="22"/>
                    </w:rPr>
                  </w:pPr>
                  <w:r w:rsidRPr="001D39EA">
                    <w:rPr>
                      <w:rFonts w:ascii="Lato" w:hAnsi="Lato"/>
                      <w:szCs w:val="22"/>
                    </w:rPr>
                    <w:t xml:space="preserve">A determination to provide redemption in specie may be made solely at the discretion of the </w:t>
                  </w:r>
                  <w:r w:rsidRPr="001D39EA">
                    <w:rPr>
                      <w:rFonts w:ascii="Lato" w:hAnsi="Lato"/>
                      <w:szCs w:val="22"/>
                      <w:lang w:val="en-IE"/>
                    </w:rPr>
                    <w:t xml:space="preserve">Qualifying Investor </w:t>
                  </w:r>
                  <w:r w:rsidRPr="001D39EA">
                    <w:rPr>
                      <w:rFonts w:ascii="Lato" w:hAnsi="Lato"/>
                      <w:szCs w:val="22"/>
                    </w:rPr>
                    <w:t xml:space="preserve">AIF where the redeeming shareholder requests redemption of a number of units that represent 5% or more of the net asset value of the </w:t>
                  </w:r>
                  <w:r w:rsidRPr="001D39EA">
                    <w:rPr>
                      <w:rFonts w:ascii="Lato" w:hAnsi="Lato"/>
                      <w:szCs w:val="22"/>
                      <w:lang w:val="en-IE"/>
                    </w:rPr>
                    <w:t xml:space="preserve">Qualifying Investor </w:t>
                  </w:r>
                  <w:r w:rsidRPr="001D39EA">
                    <w:rPr>
                      <w:rFonts w:ascii="Lato" w:hAnsi="Lato"/>
                      <w:szCs w:val="22"/>
                    </w:rPr>
                    <w:t xml:space="preserve">AIF.  In this event the </w:t>
                  </w:r>
                  <w:r w:rsidRPr="001D39EA">
                    <w:rPr>
                      <w:rFonts w:ascii="Lato" w:hAnsi="Lato"/>
                      <w:szCs w:val="22"/>
                      <w:lang w:val="en-IE"/>
                    </w:rPr>
                    <w:t xml:space="preserve">Qualifying Investor </w:t>
                  </w:r>
                  <w:r w:rsidRPr="001D39EA">
                    <w:rPr>
                      <w:rFonts w:ascii="Lato" w:hAnsi="Lato"/>
                      <w:szCs w:val="22"/>
                    </w:rPr>
                    <w:t>AIF will, if requested, sell the assets on behalf of the shareholder.  The cost of the sale can be charged to the shareholder</w:t>
                  </w:r>
                  <w:r w:rsidR="002E0412" w:rsidRPr="001D39EA">
                    <w:rPr>
                      <w:rFonts w:ascii="Lato" w:hAnsi="Lato"/>
                      <w:szCs w:val="22"/>
                    </w:rPr>
                    <w:t xml:space="preserve">(n/a for exchange traded fund where the original subscription </w:t>
                  </w:r>
                  <w:r w:rsidR="00B13292" w:rsidRPr="001D39EA">
                    <w:rPr>
                      <w:rFonts w:ascii="Lato" w:hAnsi="Lato"/>
                      <w:szCs w:val="22"/>
                    </w:rPr>
                    <w:t>was made in specie)</w:t>
                  </w:r>
                </w:p>
              </w:tc>
            </w:tr>
            <w:tr w:rsidR="002E0412" w:rsidRPr="00DC0539" w:rsidTr="0062628E">
              <w:tc>
                <w:tcPr>
                  <w:tcW w:w="9316" w:type="dxa"/>
                  <w:hideMark/>
                </w:tcPr>
                <w:p w:rsidR="002E0412" w:rsidRPr="001D39EA" w:rsidRDefault="002E0412">
                  <w:pPr>
                    <w:rPr>
                      <w:rFonts w:ascii="Lato" w:hAnsi="Lato"/>
                      <w:szCs w:val="22"/>
                    </w:rPr>
                  </w:pPr>
                </w:p>
              </w:tc>
            </w:tr>
          </w:tbl>
          <w:p w:rsidR="007C5AFE" w:rsidRPr="001D39EA" w:rsidRDefault="007C5AFE" w:rsidP="00FD02C7">
            <w:pPr>
              <w:spacing w:line="240" w:lineRule="auto"/>
              <w:jc w:val="both"/>
              <w:rPr>
                <w:rFonts w:ascii="Lato" w:hAnsi="Lato"/>
                <w:szCs w:val="22"/>
                <w:lang w:val="en-IE"/>
              </w:rPr>
            </w:pP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vMerge/>
            <w:tcBorders>
              <w:top w:val="nil"/>
              <w:left w:val="nil"/>
              <w:bottom w:val="nil"/>
              <w:right w:val="nil"/>
            </w:tcBorders>
          </w:tcPr>
          <w:p w:rsidR="007C5AFE" w:rsidRPr="001D39EA" w:rsidRDefault="007C5AFE" w:rsidP="00433EF3">
            <w:pPr>
              <w:spacing w:line="240" w:lineRule="auto"/>
              <w:rPr>
                <w:rFonts w:ascii="Lato" w:hAnsi="Lato"/>
                <w:szCs w:val="22"/>
              </w:rPr>
            </w:pPr>
          </w:p>
        </w:tc>
        <w:tc>
          <w:tcPr>
            <w:tcW w:w="9423" w:type="dxa"/>
            <w:gridSpan w:val="5"/>
            <w:vMerge/>
            <w:tcBorders>
              <w:top w:val="nil"/>
              <w:left w:val="nil"/>
              <w:bottom w:val="nil"/>
              <w:right w:val="nil"/>
            </w:tcBorders>
          </w:tcPr>
          <w:p w:rsidR="007C5AFE" w:rsidRPr="001D39EA" w:rsidRDefault="007C5AFE" w:rsidP="00433EF3">
            <w:pPr>
              <w:spacing w:line="240" w:lineRule="auto"/>
              <w:jc w:val="both"/>
              <w:rPr>
                <w:rFonts w:ascii="Lato" w:hAnsi="Lato"/>
                <w:szCs w:val="22"/>
              </w:rPr>
            </w:pPr>
          </w:p>
        </w:tc>
        <w:tc>
          <w:tcPr>
            <w:tcW w:w="889" w:type="dxa"/>
            <w:gridSpan w:val="4"/>
            <w:tcBorders>
              <w:top w:val="single" w:sz="4" w:space="0" w:color="auto"/>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vMerge/>
            <w:tcBorders>
              <w:top w:val="nil"/>
              <w:left w:val="nil"/>
              <w:bottom w:val="nil"/>
              <w:right w:val="nil"/>
            </w:tcBorders>
          </w:tcPr>
          <w:p w:rsidR="007C5AFE" w:rsidRPr="001D39EA" w:rsidRDefault="007C5AFE" w:rsidP="00433EF3">
            <w:pPr>
              <w:spacing w:line="240" w:lineRule="auto"/>
              <w:rPr>
                <w:rFonts w:ascii="Lato" w:hAnsi="Lato"/>
                <w:szCs w:val="22"/>
              </w:rPr>
            </w:pPr>
          </w:p>
        </w:tc>
        <w:tc>
          <w:tcPr>
            <w:tcW w:w="9423" w:type="dxa"/>
            <w:gridSpan w:val="5"/>
            <w:vMerge/>
            <w:tcBorders>
              <w:top w:val="nil"/>
              <w:left w:val="nil"/>
              <w:bottom w:val="nil"/>
              <w:right w:val="nil"/>
            </w:tcBorders>
          </w:tcPr>
          <w:p w:rsidR="007C5AFE" w:rsidRPr="001D39EA" w:rsidRDefault="007C5AFE" w:rsidP="00433EF3">
            <w:pPr>
              <w:spacing w:line="240" w:lineRule="auto"/>
              <w:jc w:val="both"/>
              <w:rPr>
                <w:rFonts w:ascii="Lato" w:hAnsi="Lato"/>
                <w:szCs w:val="22"/>
              </w:rPr>
            </w:pPr>
          </w:p>
        </w:tc>
        <w:tc>
          <w:tcPr>
            <w:tcW w:w="889" w:type="dxa"/>
            <w:gridSpan w:val="4"/>
            <w:tcBorders>
              <w:top w:val="nil"/>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vMerge/>
            <w:tcBorders>
              <w:top w:val="nil"/>
              <w:left w:val="nil"/>
              <w:bottom w:val="nil"/>
              <w:right w:val="nil"/>
            </w:tcBorders>
          </w:tcPr>
          <w:p w:rsidR="007C5AFE" w:rsidRPr="001D39EA" w:rsidRDefault="007C5AFE" w:rsidP="00433EF3">
            <w:pPr>
              <w:spacing w:line="240" w:lineRule="auto"/>
              <w:rPr>
                <w:rFonts w:ascii="Lato" w:hAnsi="Lato"/>
                <w:szCs w:val="22"/>
              </w:rPr>
            </w:pPr>
          </w:p>
        </w:tc>
        <w:tc>
          <w:tcPr>
            <w:tcW w:w="9423" w:type="dxa"/>
            <w:gridSpan w:val="5"/>
            <w:vMerge/>
            <w:tcBorders>
              <w:top w:val="nil"/>
              <w:left w:val="nil"/>
              <w:bottom w:val="nil"/>
              <w:right w:val="nil"/>
            </w:tcBorders>
          </w:tcPr>
          <w:p w:rsidR="007C5AFE" w:rsidRPr="001D39EA" w:rsidRDefault="007C5AFE" w:rsidP="00433EF3">
            <w:pPr>
              <w:spacing w:line="240" w:lineRule="auto"/>
              <w:jc w:val="both"/>
              <w:rPr>
                <w:rFonts w:ascii="Lato" w:hAnsi="Lato"/>
                <w:szCs w:val="22"/>
              </w:rPr>
            </w:pPr>
          </w:p>
        </w:tc>
        <w:tc>
          <w:tcPr>
            <w:tcW w:w="889" w:type="dxa"/>
            <w:gridSpan w:val="4"/>
            <w:tcBorders>
              <w:top w:val="nil"/>
              <w:left w:val="nil"/>
              <w:bottom w:val="nil"/>
              <w:right w:val="nil"/>
            </w:tcBorders>
          </w:tcPr>
          <w:p w:rsidR="007C5AFE" w:rsidRPr="001D39EA" w:rsidRDefault="007C5AFE" w:rsidP="00433EF3">
            <w:pPr>
              <w:spacing w:line="240" w:lineRule="auto"/>
              <w:rPr>
                <w:rFonts w:ascii="Lato" w:hAnsi="Lato"/>
                <w:szCs w:val="22"/>
                <w:lang w:val="en-IE"/>
              </w:rPr>
            </w:pPr>
          </w:p>
        </w:tc>
      </w:tr>
      <w:tr w:rsidR="002E041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vMerge/>
            <w:tcBorders>
              <w:top w:val="nil"/>
              <w:left w:val="nil"/>
              <w:bottom w:val="nil"/>
              <w:right w:val="nil"/>
            </w:tcBorders>
          </w:tcPr>
          <w:p w:rsidR="002E0412" w:rsidRPr="001D39EA" w:rsidRDefault="002E0412" w:rsidP="00433EF3">
            <w:pPr>
              <w:spacing w:line="240" w:lineRule="auto"/>
              <w:rPr>
                <w:rFonts w:ascii="Lato" w:hAnsi="Lato"/>
                <w:szCs w:val="22"/>
              </w:rPr>
            </w:pPr>
          </w:p>
        </w:tc>
        <w:tc>
          <w:tcPr>
            <w:tcW w:w="9423" w:type="dxa"/>
            <w:gridSpan w:val="5"/>
            <w:vMerge/>
            <w:tcBorders>
              <w:top w:val="nil"/>
              <w:left w:val="nil"/>
              <w:bottom w:val="nil"/>
              <w:right w:val="nil"/>
            </w:tcBorders>
          </w:tcPr>
          <w:p w:rsidR="002E0412" w:rsidRPr="001D39EA" w:rsidRDefault="002E0412" w:rsidP="00433EF3">
            <w:pPr>
              <w:spacing w:line="240" w:lineRule="auto"/>
              <w:jc w:val="both"/>
              <w:rPr>
                <w:rFonts w:ascii="Lato" w:hAnsi="Lato"/>
                <w:szCs w:val="22"/>
              </w:rPr>
            </w:pPr>
          </w:p>
        </w:tc>
        <w:tc>
          <w:tcPr>
            <w:tcW w:w="889" w:type="dxa"/>
            <w:gridSpan w:val="4"/>
            <w:tcBorders>
              <w:top w:val="nil"/>
              <w:left w:val="nil"/>
              <w:bottom w:val="nil"/>
              <w:right w:val="nil"/>
            </w:tcBorders>
          </w:tcPr>
          <w:p w:rsidR="002E0412" w:rsidRPr="001D39EA" w:rsidRDefault="002E0412"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tcBorders>
              <w:top w:val="nil"/>
              <w:left w:val="nil"/>
              <w:bottom w:val="nil"/>
              <w:right w:val="nil"/>
            </w:tcBorders>
          </w:tcPr>
          <w:p w:rsidR="007C5AFE" w:rsidRPr="001D39EA" w:rsidRDefault="007C5AFE" w:rsidP="00433EF3">
            <w:pPr>
              <w:spacing w:line="240" w:lineRule="auto"/>
              <w:jc w:val="right"/>
              <w:rPr>
                <w:rFonts w:ascii="Lato" w:hAnsi="Lato"/>
                <w:szCs w:val="22"/>
              </w:rPr>
            </w:pPr>
            <w:r w:rsidRPr="001D39EA">
              <w:rPr>
                <w:rFonts w:ascii="Lato" w:hAnsi="Lato"/>
                <w:szCs w:val="22"/>
              </w:rPr>
              <w:t>d)</w:t>
            </w:r>
          </w:p>
        </w:tc>
        <w:tc>
          <w:tcPr>
            <w:tcW w:w="9423" w:type="dxa"/>
            <w:gridSpan w:val="5"/>
            <w:tcBorders>
              <w:top w:val="nil"/>
              <w:left w:val="nil"/>
              <w:bottom w:val="nil"/>
              <w:right w:val="single" w:sz="4" w:space="0" w:color="auto"/>
            </w:tcBorders>
          </w:tcPr>
          <w:p w:rsidR="007C5AFE" w:rsidRPr="001D39EA" w:rsidRDefault="007C5AFE" w:rsidP="00433EF3">
            <w:pPr>
              <w:spacing w:line="240" w:lineRule="auto"/>
              <w:jc w:val="both"/>
              <w:rPr>
                <w:rFonts w:ascii="Lato" w:hAnsi="Lato"/>
                <w:szCs w:val="22"/>
              </w:rPr>
            </w:pPr>
            <w:r w:rsidRPr="001D39EA">
              <w:rPr>
                <w:rFonts w:ascii="Lato" w:hAnsi="Lato"/>
                <w:szCs w:val="22"/>
              </w:rPr>
              <w:t xml:space="preserve">Redemptions in specie may only be accepted if the depositary is satisfied that the terms of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rPr>
            </w:pPr>
          </w:p>
        </w:tc>
        <w:tc>
          <w:tcPr>
            <w:tcW w:w="9423" w:type="dxa"/>
            <w:gridSpan w:val="5"/>
            <w:tcBorders>
              <w:top w:val="nil"/>
              <w:left w:val="nil"/>
              <w:bottom w:val="nil"/>
              <w:right w:val="nil"/>
            </w:tcBorders>
          </w:tcPr>
          <w:p w:rsidR="007C5AFE" w:rsidRPr="001D39EA" w:rsidRDefault="007C5AFE" w:rsidP="009F2B05">
            <w:pPr>
              <w:spacing w:line="240" w:lineRule="auto"/>
              <w:jc w:val="both"/>
              <w:rPr>
                <w:rFonts w:ascii="Lato" w:hAnsi="Lato"/>
                <w:szCs w:val="22"/>
              </w:rPr>
            </w:pPr>
            <w:r w:rsidRPr="001D39EA">
              <w:rPr>
                <w:rFonts w:ascii="Lato" w:hAnsi="Lato"/>
                <w:szCs w:val="22"/>
              </w:rPr>
              <w:t xml:space="preserve">the exchange will not be such as are likely to result in any material prejudice to the </w:t>
            </w:r>
          </w:p>
        </w:tc>
        <w:tc>
          <w:tcPr>
            <w:tcW w:w="889" w:type="dxa"/>
            <w:gridSpan w:val="4"/>
            <w:tcBorders>
              <w:top w:val="single" w:sz="4" w:space="0" w:color="auto"/>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rPr>
            </w:pPr>
          </w:p>
        </w:tc>
        <w:tc>
          <w:tcPr>
            <w:tcW w:w="9423" w:type="dxa"/>
            <w:gridSpan w:val="5"/>
            <w:tcBorders>
              <w:top w:val="nil"/>
              <w:left w:val="nil"/>
              <w:bottom w:val="nil"/>
              <w:right w:val="nil"/>
            </w:tcBorders>
          </w:tcPr>
          <w:p w:rsidR="007C5AFE" w:rsidRPr="001D39EA" w:rsidRDefault="007C5AFE" w:rsidP="00FD02C7">
            <w:pPr>
              <w:spacing w:line="240" w:lineRule="auto"/>
              <w:jc w:val="both"/>
              <w:rPr>
                <w:rFonts w:ascii="Lato" w:hAnsi="Lato"/>
                <w:szCs w:val="22"/>
              </w:rPr>
            </w:pPr>
            <w:r w:rsidRPr="001D39EA">
              <w:rPr>
                <w:rFonts w:ascii="Lato" w:hAnsi="Lato"/>
                <w:szCs w:val="22"/>
              </w:rPr>
              <w:t xml:space="preserve">Qualifying Investor AIF unitholders </w:t>
            </w:r>
          </w:p>
        </w:tc>
        <w:tc>
          <w:tcPr>
            <w:tcW w:w="889" w:type="dxa"/>
            <w:gridSpan w:val="4"/>
            <w:tcBorders>
              <w:top w:val="nil"/>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2"/>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rPr>
            </w:pP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rPr>
            </w:pPr>
          </w:p>
        </w:tc>
        <w:tc>
          <w:tcPr>
            <w:tcW w:w="889" w:type="dxa"/>
            <w:gridSpan w:val="4"/>
            <w:tcBorders>
              <w:top w:val="nil"/>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pStyle w:val="Heading1"/>
              <w:spacing w:before="0" w:after="0" w:line="240" w:lineRule="auto"/>
              <w:jc w:val="both"/>
              <w:rPr>
                <w:rFonts w:ascii="Lato" w:hAnsi="Lato"/>
                <w:color w:val="auto"/>
                <w:sz w:val="22"/>
                <w:szCs w:val="22"/>
              </w:rPr>
            </w:pPr>
            <w:r w:rsidRPr="001D39EA">
              <w:rPr>
                <w:rFonts w:ascii="Lato" w:hAnsi="Lato"/>
                <w:color w:val="auto"/>
                <w:sz w:val="22"/>
                <w:szCs w:val="22"/>
              </w:rPr>
              <w:t>Distributions in Specie</w:t>
            </w:r>
          </w:p>
        </w:tc>
        <w:tc>
          <w:tcPr>
            <w:tcW w:w="889" w:type="dxa"/>
            <w:gridSpan w:val="4"/>
            <w:tcBorders>
              <w:top w:val="nil"/>
              <w:left w:val="nil"/>
              <w:bottom w:val="single" w:sz="4" w:space="0" w:color="auto"/>
              <w:right w:val="nil"/>
            </w:tcBorders>
          </w:tcPr>
          <w:p w:rsidR="007C5AFE" w:rsidRPr="001D39EA" w:rsidRDefault="007C5AFE" w:rsidP="00433EF3">
            <w:pPr>
              <w:spacing w:line="240" w:lineRule="auto"/>
              <w:rPr>
                <w:rFonts w:ascii="Lato" w:hAnsi="Lato"/>
                <w:szCs w:val="22"/>
                <w:lang w:val="en-IE"/>
              </w:rPr>
            </w:pPr>
            <w:r w:rsidRPr="001D39EA">
              <w:rPr>
                <w:rFonts w:ascii="Lato" w:hAnsi="Lato"/>
                <w:szCs w:val="22"/>
                <w:lang w:val="en-IE"/>
              </w:rPr>
              <w:t>Yes/No</w:t>
            </w: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CD0EF0">
            <w:pPr>
              <w:spacing w:line="240" w:lineRule="auto"/>
              <w:rPr>
                <w:rFonts w:ascii="Lato" w:hAnsi="Lato"/>
                <w:szCs w:val="22"/>
                <w:lang w:val="en-IE"/>
              </w:rPr>
            </w:pPr>
            <w:r w:rsidRPr="001D39EA">
              <w:rPr>
                <w:rFonts w:ascii="Lato" w:hAnsi="Lato"/>
                <w:szCs w:val="22"/>
                <w:lang w:val="en-IE"/>
              </w:rPr>
              <w:t>3.4.8</w:t>
            </w:r>
          </w:p>
        </w:tc>
        <w:tc>
          <w:tcPr>
            <w:tcW w:w="9423" w:type="dxa"/>
            <w:gridSpan w:val="5"/>
            <w:tcBorders>
              <w:top w:val="nil"/>
              <w:left w:val="nil"/>
              <w:bottom w:val="nil"/>
              <w:right w:val="single" w:sz="4" w:space="0" w:color="auto"/>
            </w:tcBorders>
          </w:tcPr>
          <w:p w:rsidR="007C5AFE" w:rsidRPr="001D39EA" w:rsidRDefault="00872757" w:rsidP="00433EF3">
            <w:pPr>
              <w:spacing w:line="240" w:lineRule="auto"/>
              <w:jc w:val="both"/>
              <w:rPr>
                <w:rFonts w:ascii="Lato" w:hAnsi="Lato"/>
                <w:szCs w:val="22"/>
                <w:lang w:val="en-IE"/>
              </w:rPr>
            </w:pPr>
            <w:r w:rsidRPr="001D39EA">
              <w:rPr>
                <w:rFonts w:ascii="Lato" w:hAnsi="Lato"/>
                <w:szCs w:val="22"/>
                <w:lang w:val="en-IE"/>
              </w:rPr>
              <w:t>Does the Instrument of Incorporation</w:t>
            </w:r>
            <w:r w:rsidR="007C5AFE" w:rsidRPr="001D39EA">
              <w:rPr>
                <w:rFonts w:ascii="Lato" w:hAnsi="Lato"/>
                <w:szCs w:val="22"/>
                <w:lang w:val="en-IE"/>
              </w:rPr>
              <w:t xml:space="preserve"> provide for distribution in specie on a winding up?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239"/>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If yes, provide that:</w:t>
            </w:r>
          </w:p>
        </w:tc>
        <w:tc>
          <w:tcPr>
            <w:tcW w:w="889" w:type="dxa"/>
            <w:gridSpan w:val="4"/>
            <w:tcBorders>
              <w:top w:val="single" w:sz="4" w:space="0" w:color="auto"/>
              <w:left w:val="nil"/>
              <w:bottom w:val="single" w:sz="4" w:space="0" w:color="auto"/>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rsidP="00FD02C7">
            <w:pPr>
              <w:spacing w:line="240" w:lineRule="auto"/>
              <w:jc w:val="both"/>
              <w:rPr>
                <w:rFonts w:ascii="Lato" w:hAnsi="Lato"/>
                <w:szCs w:val="22"/>
                <w:lang w:val="en-IE"/>
              </w:rPr>
            </w:pPr>
            <w:r w:rsidRPr="001D39EA">
              <w:rPr>
                <w:rFonts w:ascii="Lato" w:hAnsi="Lato"/>
                <w:szCs w:val="22"/>
                <w:lang w:val="en-IE"/>
              </w:rPr>
              <w:t xml:space="preserve">an ordinary/special resolution is required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FD02C7" w:rsidP="00433EF3">
            <w:pPr>
              <w:spacing w:line="240" w:lineRule="auto"/>
              <w:jc w:val="both"/>
              <w:rPr>
                <w:rFonts w:ascii="Lato" w:hAnsi="Lato"/>
                <w:szCs w:val="22"/>
                <w:u w:val="single"/>
                <w:lang w:val="en-IE"/>
              </w:rPr>
            </w:pPr>
            <w:r w:rsidRPr="001D39EA">
              <w:rPr>
                <w:rFonts w:ascii="Lato" w:hAnsi="Lato"/>
                <w:szCs w:val="22"/>
                <w:u w:val="single"/>
                <w:lang w:val="en-IE"/>
              </w:rPr>
              <w:t>A</w:t>
            </w:r>
            <w:r w:rsidR="007C5AFE" w:rsidRPr="001D39EA">
              <w:rPr>
                <w:rFonts w:ascii="Lato" w:hAnsi="Lato"/>
                <w:szCs w:val="22"/>
                <w:u w:val="single"/>
                <w:lang w:val="en-IE"/>
              </w:rPr>
              <w:t>nd</w:t>
            </w:r>
          </w:p>
        </w:tc>
        <w:tc>
          <w:tcPr>
            <w:tcW w:w="889" w:type="dxa"/>
            <w:gridSpan w:val="4"/>
            <w:tcBorders>
              <w:top w:val="single" w:sz="4" w:space="0" w:color="auto"/>
              <w:left w:val="nil"/>
              <w:bottom w:val="single" w:sz="4" w:space="0" w:color="auto"/>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5"/>
        </w:trPr>
        <w:tc>
          <w:tcPr>
            <w:tcW w:w="925" w:type="dxa"/>
            <w:vMerge w:val="restart"/>
            <w:tcBorders>
              <w:top w:val="nil"/>
              <w:left w:val="nil"/>
              <w:right w:val="nil"/>
            </w:tcBorders>
          </w:tcPr>
          <w:p w:rsidR="007C5AFE" w:rsidRPr="001D39EA" w:rsidRDefault="007C5AFE" w:rsidP="00433EF3">
            <w:pPr>
              <w:spacing w:line="240" w:lineRule="auto"/>
              <w:jc w:val="right"/>
              <w:rPr>
                <w:rFonts w:ascii="Lato" w:hAnsi="Lato"/>
                <w:szCs w:val="22"/>
                <w:lang w:val="en-IE"/>
              </w:rPr>
            </w:pPr>
            <w:r w:rsidRPr="001D39EA">
              <w:rPr>
                <w:rFonts w:ascii="Lato" w:hAnsi="Lato"/>
                <w:szCs w:val="22"/>
                <w:lang w:val="en-IE"/>
              </w:rPr>
              <w:t>b)</w:t>
            </w:r>
          </w:p>
        </w:tc>
        <w:tc>
          <w:tcPr>
            <w:tcW w:w="9423" w:type="dxa"/>
            <w:gridSpan w:val="5"/>
            <w:vMerge w:val="restart"/>
            <w:tcBorders>
              <w:top w:val="nil"/>
              <w:left w:val="nil"/>
              <w:right w:val="single" w:sz="4" w:space="0" w:color="auto"/>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the Qualifying Investor AIF agrees to sell the assets if requested by a shareholder. The costs of such sale can be charged to redeeming shareholders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254"/>
        </w:trPr>
        <w:tc>
          <w:tcPr>
            <w:tcW w:w="925" w:type="dxa"/>
            <w:vMerge/>
            <w:tcBorders>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vMerge/>
            <w:tcBorders>
              <w:left w:val="nil"/>
              <w:bottom w:val="nil"/>
              <w:right w:val="nil"/>
            </w:tcBorders>
          </w:tcPr>
          <w:p w:rsidR="007C5AFE" w:rsidRPr="001D39EA" w:rsidRDefault="007C5AFE" w:rsidP="00433EF3">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tcBorders>
              <w:top w:val="nil"/>
              <w:left w:val="nil"/>
              <w:bottom w:val="nil"/>
              <w:right w:val="nil"/>
            </w:tcBorders>
          </w:tcPr>
          <w:p w:rsidR="00C86809" w:rsidRPr="001D39EA" w:rsidRDefault="00C86809" w:rsidP="00433EF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pStyle w:val="Heading2"/>
              <w:spacing w:before="0" w:after="0" w:line="240" w:lineRule="auto"/>
              <w:jc w:val="both"/>
              <w:rPr>
                <w:rFonts w:ascii="Lato" w:hAnsi="Lato"/>
                <w:b w:val="0"/>
                <w:bCs/>
                <w:color w:val="auto"/>
                <w:sz w:val="22"/>
                <w:szCs w:val="22"/>
                <w:u w:val="single"/>
              </w:rPr>
            </w:pPr>
            <w:r w:rsidRPr="001D39EA">
              <w:rPr>
                <w:rFonts w:ascii="Lato" w:hAnsi="Lato"/>
                <w:b w:val="0"/>
                <w:bCs/>
                <w:color w:val="auto"/>
                <w:sz w:val="22"/>
                <w:szCs w:val="22"/>
                <w:u w:val="single"/>
              </w:rPr>
              <w:t>Cancellation of Shares</w:t>
            </w:r>
          </w:p>
        </w:tc>
        <w:tc>
          <w:tcPr>
            <w:tcW w:w="889" w:type="dxa"/>
            <w:gridSpan w:val="4"/>
            <w:tcBorders>
              <w:top w:val="nil"/>
              <w:left w:val="nil"/>
              <w:bottom w:val="single" w:sz="4" w:space="0" w:color="auto"/>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r w:rsidRPr="001D39EA">
              <w:rPr>
                <w:rFonts w:ascii="Lato" w:hAnsi="Lato"/>
                <w:szCs w:val="22"/>
                <w:lang w:val="en-IE"/>
              </w:rPr>
              <w:t>3.4.</w:t>
            </w:r>
            <w:r w:rsidR="00236702" w:rsidRPr="001D39EA">
              <w:rPr>
                <w:rFonts w:ascii="Lato" w:hAnsi="Lato"/>
                <w:szCs w:val="22"/>
                <w:lang w:val="en-IE"/>
              </w:rPr>
              <w:t>9</w:t>
            </w:r>
          </w:p>
        </w:tc>
        <w:tc>
          <w:tcPr>
            <w:tcW w:w="9423" w:type="dxa"/>
            <w:gridSpan w:val="5"/>
            <w:tcBorders>
              <w:top w:val="nil"/>
              <w:left w:val="nil"/>
              <w:bottom w:val="nil"/>
              <w:right w:val="single" w:sz="4" w:space="0" w:color="auto"/>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 xml:space="preserve">Provide that repurchased shares are cancelled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u w:val="single"/>
                <w:lang w:val="en-IE"/>
              </w:rPr>
            </w:pPr>
          </w:p>
        </w:tc>
        <w:tc>
          <w:tcPr>
            <w:tcW w:w="9423" w:type="dxa"/>
            <w:gridSpan w:val="5"/>
            <w:tcBorders>
              <w:top w:val="nil"/>
              <w:left w:val="nil"/>
              <w:bottom w:val="nil"/>
              <w:right w:val="nil"/>
            </w:tcBorders>
          </w:tcPr>
          <w:p w:rsidR="007C5AFE" w:rsidRPr="001D39EA" w:rsidRDefault="007C5AFE" w:rsidP="00433EF3">
            <w:pPr>
              <w:pStyle w:val="Heading1"/>
              <w:spacing w:before="0" w:after="0" w:line="240" w:lineRule="auto"/>
              <w:jc w:val="both"/>
              <w:rPr>
                <w:rFonts w:ascii="Lato" w:hAnsi="Lato"/>
                <w:color w:val="auto"/>
                <w:sz w:val="22"/>
                <w:szCs w:val="22"/>
                <w:u w:val="single"/>
              </w:rPr>
            </w:pPr>
            <w:r w:rsidRPr="001D39EA">
              <w:rPr>
                <w:rFonts w:ascii="Lato" w:hAnsi="Lato"/>
                <w:color w:val="auto"/>
                <w:sz w:val="22"/>
                <w:szCs w:val="22"/>
                <w:u w:val="single"/>
              </w:rPr>
              <w:t>Suspension of Redemptions and Calculation of Net Asset Value</w:t>
            </w:r>
          </w:p>
        </w:tc>
        <w:tc>
          <w:tcPr>
            <w:tcW w:w="889" w:type="dxa"/>
            <w:gridSpan w:val="4"/>
            <w:tcBorders>
              <w:top w:val="nil"/>
              <w:left w:val="nil"/>
              <w:bottom w:val="nil"/>
              <w:right w:val="nil"/>
            </w:tcBorders>
          </w:tcPr>
          <w:p w:rsidR="007C5AFE" w:rsidRPr="001D39EA" w:rsidRDefault="007C5AFE" w:rsidP="00433EF3">
            <w:pPr>
              <w:spacing w:line="240" w:lineRule="auto"/>
              <w:rPr>
                <w:rFonts w:ascii="Lato" w:hAnsi="Lato"/>
                <w:szCs w:val="22"/>
                <w:u w:val="single"/>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433EF3">
            <w:pPr>
              <w:spacing w:line="240" w:lineRule="auto"/>
              <w:rPr>
                <w:rFonts w:ascii="Lato" w:hAnsi="Lato"/>
                <w:szCs w:val="22"/>
                <w:lang w:val="en-IE"/>
              </w:rPr>
            </w:pPr>
            <w:r w:rsidRPr="001D39EA">
              <w:rPr>
                <w:rFonts w:ascii="Lato" w:hAnsi="Lato"/>
                <w:szCs w:val="22"/>
                <w:lang w:val="en-IE"/>
              </w:rPr>
              <w:t>3.4.</w:t>
            </w:r>
            <w:r w:rsidR="00236702" w:rsidRPr="001D39EA">
              <w:rPr>
                <w:rFonts w:ascii="Lato" w:hAnsi="Lato"/>
                <w:szCs w:val="22"/>
                <w:lang w:val="en-IE"/>
              </w:rPr>
              <w:t>10</w:t>
            </w:r>
            <w:r w:rsidRPr="001D39EA">
              <w:rPr>
                <w:rFonts w:ascii="Lato" w:hAnsi="Lato"/>
                <w:szCs w:val="22"/>
                <w:lang w:val="en-IE"/>
              </w:rPr>
              <w:t xml:space="preserve"> </w:t>
            </w: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Provide that:</w:t>
            </w:r>
          </w:p>
        </w:tc>
        <w:tc>
          <w:tcPr>
            <w:tcW w:w="889" w:type="dxa"/>
            <w:gridSpan w:val="4"/>
            <w:tcBorders>
              <w:top w:val="nil"/>
              <w:left w:val="nil"/>
              <w:bottom w:val="single" w:sz="4" w:space="0" w:color="auto"/>
              <w:right w:val="nil"/>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Suspension can only be on a temporary basis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single" w:sz="4" w:space="0" w:color="auto"/>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List the circumstances under which the calculation of net asset value and redemptions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could be suspended</w:t>
            </w:r>
          </w:p>
        </w:tc>
        <w:tc>
          <w:tcPr>
            <w:tcW w:w="889" w:type="dxa"/>
            <w:gridSpan w:val="4"/>
            <w:tcBorders>
              <w:top w:val="single" w:sz="4" w:space="0" w:color="auto"/>
              <w:left w:val="nil"/>
              <w:bottom w:val="single" w:sz="4" w:space="0" w:color="auto"/>
              <w:right w:val="nil"/>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c)</w:t>
            </w:r>
          </w:p>
        </w:tc>
        <w:tc>
          <w:tcPr>
            <w:tcW w:w="9423" w:type="dxa"/>
            <w:gridSpan w:val="5"/>
            <w:tcBorders>
              <w:top w:val="nil"/>
              <w:left w:val="nil"/>
              <w:bottom w:val="nil"/>
              <w:right w:val="single" w:sz="4" w:space="0" w:color="auto"/>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The Central Bank will be notified immediately of any suspension and in any event within</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lang w:val="en-IE"/>
              </w:rPr>
            </w:pPr>
            <w:r w:rsidRPr="001D39EA">
              <w:rPr>
                <w:rFonts w:ascii="Lato" w:hAnsi="Lato"/>
                <w:szCs w:val="22"/>
                <w:lang w:val="en-IE"/>
              </w:rPr>
              <w:t xml:space="preserve">the working day on which such suspension took effect </w:t>
            </w:r>
          </w:p>
        </w:tc>
        <w:tc>
          <w:tcPr>
            <w:tcW w:w="889" w:type="dxa"/>
            <w:gridSpan w:val="4"/>
            <w:tcBorders>
              <w:top w:val="single" w:sz="4" w:space="0" w:color="auto"/>
              <w:left w:val="nil"/>
              <w:bottom w:val="single" w:sz="4" w:space="0" w:color="auto"/>
              <w:right w:val="nil"/>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r w:rsidRPr="001D39EA">
              <w:rPr>
                <w:rFonts w:ascii="Lato" w:hAnsi="Lato"/>
                <w:szCs w:val="22"/>
                <w:lang w:val="en-IE"/>
              </w:rPr>
              <w:t>d)</w:t>
            </w: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lang w:val="en-IE"/>
              </w:rPr>
            </w:pPr>
            <w:r w:rsidRPr="001D39EA">
              <w:rPr>
                <w:rFonts w:ascii="Lato" w:hAnsi="Lato"/>
                <w:szCs w:val="22"/>
                <w:lang w:val="en-IE"/>
              </w:rPr>
              <w:t>Confirm that there is no provision in the</w:t>
            </w:r>
            <w:r w:rsidR="00872757" w:rsidRPr="001D39EA">
              <w:rPr>
                <w:rFonts w:ascii="Lato" w:hAnsi="Lato"/>
                <w:szCs w:val="22"/>
                <w:lang w:val="en-IE"/>
              </w:rPr>
              <w:t xml:space="preserve"> Instrument of Incorporation</w:t>
            </w:r>
            <w:r w:rsidRPr="001D39EA">
              <w:rPr>
                <w:rFonts w:ascii="Lato" w:hAnsi="Lato"/>
                <w:szCs w:val="22"/>
                <w:lang w:val="en-IE"/>
              </w:rPr>
              <w:t xml:space="preserve"> permitting the Depositary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1F30BF">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59751F" w:rsidP="00433EF3">
            <w:pPr>
              <w:spacing w:line="240" w:lineRule="auto"/>
              <w:jc w:val="both"/>
              <w:rPr>
                <w:rFonts w:ascii="Lato" w:hAnsi="Lato"/>
                <w:szCs w:val="22"/>
                <w:lang w:val="en-IE"/>
              </w:rPr>
            </w:pPr>
            <w:r w:rsidRPr="00F72ED7">
              <w:rPr>
                <w:rFonts w:ascii="Lato" w:hAnsi="Lato"/>
                <w:szCs w:val="22"/>
                <w:lang w:val="en-IE"/>
              </w:rPr>
              <w:t xml:space="preserve">to </w:t>
            </w:r>
            <w:r w:rsidR="007D2CC6" w:rsidRPr="001D39EA">
              <w:rPr>
                <w:rFonts w:ascii="Lato" w:hAnsi="Lato"/>
                <w:szCs w:val="22"/>
                <w:lang w:val="en-IE"/>
              </w:rPr>
              <w:t xml:space="preserve">request </w:t>
            </w:r>
            <w:r w:rsidR="007C5AFE" w:rsidRPr="001D39EA">
              <w:rPr>
                <w:rFonts w:ascii="Lato" w:hAnsi="Lato"/>
                <w:szCs w:val="22"/>
                <w:lang w:val="en-IE"/>
              </w:rPr>
              <w:t>suspension</w:t>
            </w:r>
          </w:p>
        </w:tc>
        <w:tc>
          <w:tcPr>
            <w:tcW w:w="889" w:type="dxa"/>
            <w:gridSpan w:val="4"/>
            <w:tcBorders>
              <w:top w:val="single" w:sz="4" w:space="0" w:color="auto"/>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3C2DF6">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433EF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rsidP="00433EF3">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b/>
                <w:bCs/>
                <w:szCs w:val="22"/>
                <w:lang w:val="en-IE"/>
              </w:rPr>
            </w:pPr>
            <w:r w:rsidRPr="001D39EA">
              <w:rPr>
                <w:rFonts w:ascii="Lato" w:hAnsi="Lato"/>
                <w:b/>
                <w:bCs/>
                <w:szCs w:val="22"/>
                <w:lang w:val="en-IE"/>
              </w:rPr>
              <w:t>3.5</w:t>
            </w:r>
          </w:p>
        </w:tc>
        <w:tc>
          <w:tcPr>
            <w:tcW w:w="9423" w:type="dxa"/>
            <w:gridSpan w:val="5"/>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jc w:val="both"/>
              <w:rPr>
                <w:rFonts w:ascii="Lato" w:hAnsi="Lato"/>
                <w:szCs w:val="22"/>
                <w:lang w:val="en-IE"/>
              </w:rPr>
            </w:pPr>
            <w:r w:rsidRPr="001D39EA">
              <w:rPr>
                <w:rFonts w:ascii="Lato" w:hAnsi="Lato"/>
                <w:b/>
                <w:bCs/>
                <w:szCs w:val="22"/>
                <w:lang w:val="en-IE"/>
              </w:rPr>
              <w:t>Determination of Net Value Asset</w:t>
            </w:r>
          </w:p>
        </w:tc>
        <w:tc>
          <w:tcPr>
            <w:tcW w:w="889" w:type="dxa"/>
            <w:gridSpan w:val="4"/>
            <w:tcBorders>
              <w:top w:val="nil"/>
              <w:left w:val="single" w:sz="4" w:space="0" w:color="auto"/>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c>
          <w:tcPr>
            <w:tcW w:w="9423" w:type="dxa"/>
            <w:gridSpan w:val="5"/>
            <w:tcBorders>
              <w:top w:val="single" w:sz="4" w:space="0" w:color="auto"/>
              <w:left w:val="nil"/>
              <w:bottom w:val="nil"/>
              <w:right w:val="nil"/>
            </w:tcBorders>
          </w:tcPr>
          <w:p w:rsidR="007C5AFE" w:rsidRPr="001D39EA" w:rsidRDefault="007C5AFE">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rPr>
                <w:rFonts w:ascii="Lato" w:hAnsi="Lato"/>
                <w:szCs w:val="22"/>
                <w:lang w:val="en-IE"/>
              </w:rPr>
            </w:pPr>
            <w:r w:rsidRPr="001D39EA">
              <w:rPr>
                <w:rFonts w:ascii="Lato" w:hAnsi="Lato"/>
                <w:szCs w:val="22"/>
                <w:lang w:val="en-IE"/>
              </w:rPr>
              <w:t>3.5.1</w:t>
            </w:r>
          </w:p>
        </w:tc>
        <w:tc>
          <w:tcPr>
            <w:tcW w:w="9423" w:type="dxa"/>
            <w:gridSpan w:val="5"/>
            <w:tcBorders>
              <w:top w:val="nil"/>
              <w:left w:val="nil"/>
              <w:bottom w:val="nil"/>
              <w:right w:val="nil"/>
            </w:tcBorders>
          </w:tcPr>
          <w:p w:rsidR="007C5AFE" w:rsidRPr="001D39EA" w:rsidRDefault="007C5AFE" w:rsidP="00280232">
            <w:pPr>
              <w:spacing w:line="240" w:lineRule="auto"/>
              <w:jc w:val="both"/>
              <w:rPr>
                <w:rFonts w:ascii="Lato" w:hAnsi="Lato"/>
                <w:szCs w:val="22"/>
                <w:lang w:val="en-IE"/>
              </w:rPr>
            </w:pPr>
            <w:r w:rsidRPr="001D39EA">
              <w:rPr>
                <w:rFonts w:ascii="Lato" w:hAnsi="Lato"/>
                <w:szCs w:val="22"/>
                <w:lang w:val="en-IE"/>
              </w:rPr>
              <w:t>Specify the  frequency of the calculation of</w:t>
            </w:r>
            <w:r w:rsidR="00280232" w:rsidRPr="001D39EA">
              <w:rPr>
                <w:rFonts w:ascii="Lato" w:hAnsi="Lato"/>
                <w:szCs w:val="22"/>
                <w:lang w:val="en-IE"/>
              </w:rPr>
              <w:t>:</w:t>
            </w:r>
            <w:r w:rsidRPr="001D39EA">
              <w:rPr>
                <w:rFonts w:ascii="Lato" w:hAnsi="Lato"/>
                <w:szCs w:val="22"/>
                <w:lang w:val="en-IE"/>
              </w:rPr>
              <w:t xml:space="preserve">  </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lang w:val="en-IE"/>
              </w:rPr>
            </w:pPr>
            <w:r w:rsidRPr="001D39EA">
              <w:rPr>
                <w:rFonts w:ascii="Lato" w:hAnsi="Lato"/>
                <w:szCs w:val="22"/>
                <w:lang w:val="en-IE"/>
              </w:rPr>
              <w:t>the issue price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pPr>
              <w:spacing w:line="240" w:lineRule="auto"/>
              <w:jc w:val="both"/>
              <w:rPr>
                <w:rFonts w:ascii="Lato" w:hAnsi="Lato"/>
                <w:szCs w:val="22"/>
                <w:lang w:val="en-IE"/>
              </w:rPr>
            </w:pPr>
            <w:r w:rsidRPr="001D39EA">
              <w:rPr>
                <w:rFonts w:ascii="Lato" w:hAnsi="Lato"/>
                <w:szCs w:val="22"/>
                <w:lang w:val="en-IE"/>
              </w:rPr>
              <w:t>and</w:t>
            </w: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lang w:val="en-IE"/>
              </w:rPr>
            </w:pPr>
            <w:r w:rsidRPr="001D39EA">
              <w:rPr>
                <w:rFonts w:ascii="Lato" w:hAnsi="Lato"/>
                <w:szCs w:val="22"/>
                <w:lang w:val="en-IE"/>
              </w:rPr>
              <w:t xml:space="preserve">the repurchase price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r w:rsidRPr="001D39EA">
              <w:rPr>
                <w:rFonts w:ascii="Lato" w:hAnsi="Lato"/>
                <w:szCs w:val="22"/>
              </w:rPr>
              <w:t xml:space="preserve"> </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 xml:space="preserve">3.5.2  </w:t>
            </w: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rPr>
            </w:pPr>
            <w:r w:rsidRPr="001D39EA">
              <w:rPr>
                <w:rFonts w:ascii="Lato" w:hAnsi="Lato"/>
                <w:szCs w:val="22"/>
              </w:rPr>
              <w:t>Valuation Provisions</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rPr>
            </w:pPr>
            <w:r w:rsidRPr="001D39EA">
              <w:rPr>
                <w:rFonts w:ascii="Lato" w:hAnsi="Lato"/>
                <w:szCs w:val="22"/>
                <w:lang w:val="en-IE"/>
              </w:rPr>
              <w:t xml:space="preserve">Set out the rules for valuation of assets which clearly and unambiguously define the </w:t>
            </w:r>
            <w:r w:rsidR="0086363F" w:rsidRPr="001D39EA">
              <w:rPr>
                <w:rFonts w:ascii="Lato" w:hAnsi="Lato"/>
                <w:szCs w:val="22"/>
                <w:lang w:val="en-IE"/>
              </w:rPr>
              <w:t xml:space="preserve">expected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59751F" w:rsidP="007E52FD">
            <w:pPr>
              <w:spacing w:line="240" w:lineRule="auto"/>
              <w:jc w:val="both"/>
              <w:rPr>
                <w:rFonts w:ascii="Lato" w:hAnsi="Lato"/>
                <w:szCs w:val="22"/>
              </w:rPr>
            </w:pPr>
            <w:r w:rsidRPr="00F72ED7">
              <w:rPr>
                <w:rFonts w:ascii="Lato" w:hAnsi="Lato"/>
                <w:szCs w:val="22"/>
                <w:lang w:val="en-IE"/>
              </w:rPr>
              <w:t>method of</w:t>
            </w:r>
            <w:r w:rsidRPr="00DC0539">
              <w:rPr>
                <w:rFonts w:ascii="Lato" w:hAnsi="Lato"/>
                <w:szCs w:val="22"/>
                <w:lang w:val="en-IE"/>
              </w:rPr>
              <w:t xml:space="preserve"> </w:t>
            </w:r>
            <w:r w:rsidR="007C5AFE" w:rsidRPr="001D39EA">
              <w:rPr>
                <w:rFonts w:ascii="Lato" w:hAnsi="Lato"/>
                <w:szCs w:val="22"/>
                <w:lang w:val="en-IE"/>
              </w:rPr>
              <w:t xml:space="preserve">valuation </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7E52FD">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single" w:sz="4" w:space="0" w:color="auto"/>
            </w:tcBorders>
          </w:tcPr>
          <w:p w:rsidR="007C5AFE" w:rsidRPr="001D39EA" w:rsidRDefault="007C5AFE" w:rsidP="002C343C">
            <w:pPr>
              <w:spacing w:line="240" w:lineRule="auto"/>
              <w:jc w:val="both"/>
              <w:rPr>
                <w:rFonts w:ascii="Lato" w:hAnsi="Lato"/>
                <w:szCs w:val="22"/>
              </w:rPr>
            </w:pPr>
            <w:r w:rsidRPr="001D39EA">
              <w:rPr>
                <w:rFonts w:ascii="Lato" w:hAnsi="Lato"/>
                <w:szCs w:val="22"/>
                <w:lang w:val="en-IE"/>
              </w:rPr>
              <w:t>Set out a framework for variation from this method of valuation</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p>
        </w:tc>
        <w:tc>
          <w:tcPr>
            <w:tcW w:w="889" w:type="dxa"/>
            <w:gridSpan w:val="4"/>
            <w:tcBorders>
              <w:top w:val="single" w:sz="4" w:space="0" w:color="auto"/>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c)</w:t>
            </w: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rPr>
            </w:pPr>
            <w:r w:rsidRPr="001D39EA">
              <w:rPr>
                <w:rFonts w:ascii="Lato" w:hAnsi="Lato"/>
                <w:szCs w:val="22"/>
              </w:rPr>
              <w:t>Confirm that dealing is carried out on a forward pricing basis i.e. the net Asset Value</w:t>
            </w:r>
            <w:r w:rsidR="0086363F" w:rsidRPr="001D39EA">
              <w:rPr>
                <w:rFonts w:ascii="Lato" w:hAnsi="Lato"/>
                <w:szCs w:val="22"/>
              </w:rPr>
              <w:t xml:space="preserve"> next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59751F" w:rsidP="002C343C">
            <w:pPr>
              <w:spacing w:line="240" w:lineRule="auto"/>
              <w:jc w:val="both"/>
              <w:rPr>
                <w:rFonts w:ascii="Lato" w:hAnsi="Lato"/>
                <w:szCs w:val="22"/>
              </w:rPr>
            </w:pPr>
            <w:r w:rsidRPr="00F72ED7">
              <w:rPr>
                <w:rFonts w:ascii="Lato" w:hAnsi="Lato"/>
                <w:szCs w:val="22"/>
              </w:rPr>
              <w:t>computed</w:t>
            </w:r>
            <w:r w:rsidRPr="00DC0539">
              <w:rPr>
                <w:rFonts w:ascii="Lato" w:hAnsi="Lato"/>
                <w:szCs w:val="22"/>
              </w:rPr>
              <w:t xml:space="preserve"> </w:t>
            </w:r>
            <w:r w:rsidR="008E5369" w:rsidRPr="001D39EA">
              <w:rPr>
                <w:rFonts w:ascii="Lato" w:hAnsi="Lato"/>
                <w:szCs w:val="22"/>
              </w:rPr>
              <w:t xml:space="preserve">after receipt </w:t>
            </w:r>
            <w:r w:rsidR="007C5AFE" w:rsidRPr="001D39EA">
              <w:rPr>
                <w:rFonts w:ascii="Lato" w:hAnsi="Lato"/>
                <w:szCs w:val="22"/>
              </w:rPr>
              <w:t>of subscription and redemption requests</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rPr>
            </w:pP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d)</w:t>
            </w:r>
          </w:p>
        </w:tc>
        <w:tc>
          <w:tcPr>
            <w:tcW w:w="9423" w:type="dxa"/>
            <w:gridSpan w:val="5"/>
            <w:tcBorders>
              <w:top w:val="nil"/>
              <w:left w:val="nil"/>
              <w:bottom w:val="nil"/>
              <w:right w:val="single" w:sz="4" w:space="0" w:color="auto"/>
            </w:tcBorders>
          </w:tcPr>
          <w:p w:rsidR="007C5AFE" w:rsidRPr="001D39EA" w:rsidRDefault="007C5AFE" w:rsidP="005D64D0">
            <w:pPr>
              <w:spacing w:line="240" w:lineRule="auto"/>
              <w:jc w:val="both"/>
              <w:rPr>
                <w:rFonts w:ascii="Lato" w:hAnsi="Lato"/>
                <w:szCs w:val="22"/>
              </w:rPr>
            </w:pPr>
            <w:r w:rsidRPr="001D39EA">
              <w:rPr>
                <w:rFonts w:ascii="Lato" w:hAnsi="Lato"/>
                <w:bCs/>
                <w:szCs w:val="22"/>
              </w:rPr>
              <w:t xml:space="preserve">Provide that valuation is carried out as often as the </w:t>
            </w:r>
            <w:r w:rsidRPr="001D39EA">
              <w:rPr>
                <w:rFonts w:ascii="Lato" w:hAnsi="Lato"/>
                <w:szCs w:val="22"/>
              </w:rPr>
              <w:t>Qualifying Investor AIF deals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5D64D0">
            <w:pPr>
              <w:spacing w:line="240" w:lineRule="auto"/>
              <w:jc w:val="both"/>
              <w:rPr>
                <w:rFonts w:ascii="Lato" w:hAnsi="Lato"/>
                <w:bCs/>
                <w:szCs w:val="22"/>
              </w:rPr>
            </w:pP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e)</w:t>
            </w: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rPr>
            </w:pPr>
            <w:r w:rsidRPr="001D39EA">
              <w:rPr>
                <w:rFonts w:ascii="Lato" w:hAnsi="Lato"/>
                <w:bCs/>
                <w:szCs w:val="22"/>
              </w:rPr>
              <w:t>For closed-ended/open-ended with limited liquidity</w:t>
            </w:r>
            <w:r w:rsidR="0086363F" w:rsidRPr="001D39EA">
              <w:rPr>
                <w:rFonts w:ascii="Lato" w:hAnsi="Lato"/>
                <w:bCs/>
                <w:szCs w:val="22"/>
              </w:rPr>
              <w:t xml:space="preserve"> funds Qualifying Investor AIFs:</w:t>
            </w:r>
            <w:r w:rsidRPr="001D39EA">
              <w:rPr>
                <w:rFonts w:ascii="Lato" w:hAnsi="Lato"/>
                <w:bCs/>
                <w:szCs w:val="22"/>
              </w:rPr>
              <w:t xml:space="preserve"> </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single" w:sz="4" w:space="0" w:color="auto"/>
            </w:tcBorders>
          </w:tcPr>
          <w:p w:rsidR="007C5AFE" w:rsidRPr="001D39EA" w:rsidRDefault="007C5AFE" w:rsidP="002C343C">
            <w:pPr>
              <w:spacing w:line="240" w:lineRule="auto"/>
              <w:jc w:val="both"/>
              <w:rPr>
                <w:rFonts w:ascii="Lato" w:hAnsi="Lato"/>
                <w:szCs w:val="22"/>
              </w:rPr>
            </w:pPr>
            <w:r w:rsidRPr="001D39EA">
              <w:rPr>
                <w:rFonts w:ascii="Lato" w:hAnsi="Lato"/>
                <w:bCs/>
                <w:szCs w:val="22"/>
              </w:rPr>
              <w:t>provide for the valuation of assets and the calculation of net asset value per unit at</w:t>
            </w:r>
            <w:r w:rsidR="0086363F" w:rsidRPr="001D39EA">
              <w:rPr>
                <w:rFonts w:ascii="Lato" w:hAnsi="Lato"/>
                <w:bCs/>
                <w:szCs w:val="22"/>
              </w:rPr>
              <w:t xml:space="preserve"> least once a year</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rPr>
            </w:pP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3.5.3</w:t>
            </w: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rPr>
            </w:pPr>
            <w:r w:rsidRPr="001D39EA">
              <w:rPr>
                <w:rFonts w:ascii="Lato" w:hAnsi="Lato"/>
                <w:szCs w:val="22"/>
                <w:lang w:val="en-IE"/>
              </w:rPr>
              <w:t>Short Term Money Market Fund Valuation on the basis of amortised cost</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single" w:sz="4" w:space="0" w:color="auto"/>
            </w:tcBorders>
          </w:tcPr>
          <w:p w:rsidR="007C5AFE" w:rsidRPr="001D39EA" w:rsidRDefault="007C5AFE" w:rsidP="002C343C">
            <w:pPr>
              <w:spacing w:line="240" w:lineRule="auto"/>
              <w:jc w:val="both"/>
              <w:rPr>
                <w:rFonts w:ascii="Lato" w:hAnsi="Lato"/>
                <w:szCs w:val="22"/>
              </w:rPr>
            </w:pPr>
            <w:r w:rsidRPr="001D39EA">
              <w:rPr>
                <w:rFonts w:ascii="Lato" w:hAnsi="Lato"/>
                <w:szCs w:val="22"/>
                <w:lang w:val="en-IE"/>
              </w:rPr>
              <w:t xml:space="preserve">Provide that the Qualifying Investor AIF will carry out a weekly review of discrepancies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587913">
            <w:pPr>
              <w:spacing w:line="240" w:lineRule="auto"/>
              <w:jc w:val="both"/>
              <w:rPr>
                <w:rFonts w:ascii="Lato" w:hAnsi="Lato"/>
                <w:szCs w:val="22"/>
              </w:rPr>
            </w:pPr>
            <w:r w:rsidRPr="001D39EA">
              <w:rPr>
                <w:rFonts w:ascii="Lato" w:hAnsi="Lato"/>
                <w:szCs w:val="22"/>
                <w:lang w:val="en-IE"/>
              </w:rPr>
              <w:t>between the market value and the amortised cost value of the money market instruments.</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7E52FD">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86363F">
            <w:pPr>
              <w:spacing w:line="240" w:lineRule="auto"/>
              <w:jc w:val="right"/>
              <w:rPr>
                <w:rFonts w:ascii="Lato" w:hAnsi="Lato"/>
                <w:szCs w:val="22"/>
                <w:lang w:val="en-IE"/>
              </w:rPr>
            </w:pPr>
            <w:r w:rsidRPr="001D39EA">
              <w:rPr>
                <w:rFonts w:ascii="Lato" w:hAnsi="Lato"/>
                <w:szCs w:val="22"/>
                <w:lang w:val="en-IE"/>
              </w:rPr>
              <w:t>3.5.4</w:t>
            </w:r>
            <w:r w:rsidR="007C5AFE" w:rsidRPr="001D39EA">
              <w:rPr>
                <w:rFonts w:ascii="Lato" w:hAnsi="Lato"/>
                <w:szCs w:val="22"/>
                <w:lang w:val="en-IE"/>
              </w:rPr>
              <w:t xml:space="preserve"> (i)</w:t>
            </w:r>
          </w:p>
        </w:tc>
        <w:tc>
          <w:tcPr>
            <w:tcW w:w="9423" w:type="dxa"/>
            <w:gridSpan w:val="5"/>
            <w:tcBorders>
              <w:top w:val="nil"/>
              <w:left w:val="nil"/>
              <w:bottom w:val="nil"/>
              <w:right w:val="nil"/>
            </w:tcBorders>
          </w:tcPr>
          <w:p w:rsidR="007C5AFE" w:rsidRPr="001D39EA" w:rsidRDefault="007C5AFE" w:rsidP="007E52FD">
            <w:pPr>
              <w:spacing w:line="240" w:lineRule="auto"/>
              <w:jc w:val="both"/>
              <w:rPr>
                <w:rFonts w:ascii="Lato" w:hAnsi="Lato"/>
                <w:szCs w:val="22"/>
                <w:lang w:val="en-IE"/>
              </w:rPr>
            </w:pPr>
            <w:r w:rsidRPr="001D39EA">
              <w:rPr>
                <w:rFonts w:ascii="Lato" w:hAnsi="Lato"/>
                <w:szCs w:val="22"/>
                <w:lang w:val="en-IE"/>
              </w:rPr>
              <w:t>Escalation procedures must be in place to ensure that material discrepancies between the</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r w:rsidRPr="001D39EA">
              <w:rPr>
                <w:rFonts w:ascii="Lato" w:hAnsi="Lato"/>
                <w:szCs w:val="22"/>
                <w:lang w:val="en-IE"/>
              </w:rPr>
              <w:t>market value and the amortised cost value of a money market instrument are brought to the</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r w:rsidRPr="001D39EA">
              <w:rPr>
                <w:rFonts w:ascii="Lato" w:hAnsi="Lato"/>
                <w:szCs w:val="22"/>
                <w:lang w:val="en-IE"/>
              </w:rPr>
              <w:t>attention of personnel charged with the investment management of the Qualifying Investor</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r w:rsidRPr="001D39EA">
              <w:rPr>
                <w:rFonts w:ascii="Lato" w:hAnsi="Lato"/>
                <w:szCs w:val="22"/>
                <w:lang w:val="en-IE"/>
              </w:rPr>
              <w:t>AIF. In this regard, ensure that</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a)</w:t>
            </w:r>
          </w:p>
        </w:tc>
        <w:tc>
          <w:tcPr>
            <w:tcW w:w="9423" w:type="dxa"/>
            <w:gridSpan w:val="5"/>
            <w:tcBorders>
              <w:top w:val="nil"/>
              <w:left w:val="nil"/>
              <w:bottom w:val="nil"/>
              <w:right w:val="single" w:sz="4" w:space="0" w:color="auto"/>
            </w:tcBorders>
          </w:tcPr>
          <w:p w:rsidR="007C5AFE" w:rsidRPr="001D39EA" w:rsidRDefault="007C5AFE" w:rsidP="002C343C">
            <w:pPr>
              <w:spacing w:line="240" w:lineRule="auto"/>
              <w:jc w:val="both"/>
              <w:rPr>
                <w:rFonts w:ascii="Lato" w:hAnsi="Lato"/>
                <w:szCs w:val="22"/>
              </w:rPr>
            </w:pPr>
            <w:r w:rsidRPr="001D39EA">
              <w:rPr>
                <w:rFonts w:ascii="Lato" w:hAnsi="Lato"/>
                <w:szCs w:val="22"/>
                <w:lang w:val="en-IE"/>
              </w:rPr>
              <w:t>discrepancies in excess of 0.1% between the market value and the amortised cost value of</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FD02C7">
            <w:pPr>
              <w:spacing w:line="240" w:lineRule="auto"/>
              <w:jc w:val="both"/>
              <w:rPr>
                <w:rFonts w:ascii="Lato" w:hAnsi="Lato"/>
                <w:szCs w:val="22"/>
              </w:rPr>
            </w:pPr>
            <w:r w:rsidRPr="001D39EA">
              <w:rPr>
                <w:rFonts w:ascii="Lato" w:hAnsi="Lato"/>
                <w:szCs w:val="22"/>
                <w:lang w:val="en-IE"/>
              </w:rPr>
              <w:t>the portfolio are brought to the attention of the management company or the investment manager</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b)</w:t>
            </w:r>
          </w:p>
        </w:tc>
        <w:tc>
          <w:tcPr>
            <w:tcW w:w="9423" w:type="dxa"/>
            <w:gridSpan w:val="5"/>
            <w:tcBorders>
              <w:top w:val="nil"/>
              <w:left w:val="nil"/>
              <w:bottom w:val="nil"/>
              <w:right w:val="single" w:sz="4" w:space="0" w:color="auto"/>
            </w:tcBorders>
          </w:tcPr>
          <w:p w:rsidR="007C5AFE" w:rsidRPr="001D39EA" w:rsidRDefault="007C5AFE" w:rsidP="002C343C">
            <w:pPr>
              <w:spacing w:line="240" w:lineRule="auto"/>
              <w:jc w:val="both"/>
              <w:rPr>
                <w:rFonts w:ascii="Lato" w:hAnsi="Lato"/>
                <w:szCs w:val="22"/>
              </w:rPr>
            </w:pPr>
            <w:r w:rsidRPr="001D39EA">
              <w:rPr>
                <w:rFonts w:ascii="Lato" w:hAnsi="Lato"/>
                <w:szCs w:val="22"/>
                <w:lang w:val="en-IE"/>
              </w:rPr>
              <w:t>discrepancies in excess of 0.2% between the market value and the amortised cost value of</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FD02C7">
            <w:pPr>
              <w:spacing w:line="240" w:lineRule="auto"/>
              <w:jc w:val="both"/>
              <w:rPr>
                <w:rFonts w:ascii="Lato" w:hAnsi="Lato"/>
                <w:szCs w:val="22"/>
              </w:rPr>
            </w:pPr>
            <w:r w:rsidRPr="001D39EA">
              <w:rPr>
                <w:rFonts w:ascii="Lato" w:hAnsi="Lato"/>
                <w:szCs w:val="22"/>
                <w:lang w:val="en-IE"/>
              </w:rPr>
              <w:t>the portfolio are brought to the attention of senior management/directors of the management company or the board of directors and the depositary</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r w:rsidRPr="001D39EA">
              <w:rPr>
                <w:rFonts w:ascii="Lato" w:hAnsi="Lato"/>
                <w:szCs w:val="22"/>
                <w:lang w:val="en-IE"/>
              </w:rPr>
              <w:t>c)</w:t>
            </w:r>
          </w:p>
        </w:tc>
        <w:tc>
          <w:tcPr>
            <w:tcW w:w="9423" w:type="dxa"/>
            <w:gridSpan w:val="5"/>
            <w:tcBorders>
              <w:top w:val="nil"/>
              <w:left w:val="nil"/>
              <w:bottom w:val="nil"/>
              <w:right w:val="single" w:sz="4" w:space="0" w:color="auto"/>
            </w:tcBorders>
          </w:tcPr>
          <w:p w:rsidR="007C5AFE" w:rsidRPr="001D39EA" w:rsidRDefault="007C5AFE" w:rsidP="002C343C">
            <w:pPr>
              <w:spacing w:line="240" w:lineRule="auto"/>
              <w:jc w:val="both"/>
              <w:rPr>
                <w:rFonts w:ascii="Lato" w:hAnsi="Lato"/>
                <w:szCs w:val="22"/>
              </w:rPr>
            </w:pPr>
            <w:r w:rsidRPr="001D39EA">
              <w:rPr>
                <w:rFonts w:ascii="Lato" w:hAnsi="Lato"/>
                <w:szCs w:val="22"/>
                <w:lang w:val="en-IE"/>
              </w:rPr>
              <w:t>If discrepancies in excess of 0.3% between the market value and the amortised cost value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5D64D0">
            <w:pPr>
              <w:spacing w:line="240" w:lineRule="auto"/>
              <w:jc w:val="both"/>
              <w:rPr>
                <w:rFonts w:ascii="Lato" w:hAnsi="Lato"/>
                <w:szCs w:val="22"/>
              </w:rPr>
            </w:pPr>
            <w:r w:rsidRPr="001D39EA">
              <w:rPr>
                <w:rFonts w:ascii="Lato" w:hAnsi="Lato"/>
                <w:szCs w:val="22"/>
              </w:rPr>
              <w:t xml:space="preserve">of </w:t>
            </w:r>
            <w:r w:rsidRPr="001D39EA">
              <w:rPr>
                <w:rFonts w:ascii="Lato" w:hAnsi="Lato"/>
                <w:szCs w:val="22"/>
                <w:lang w:val="en-IE"/>
              </w:rPr>
              <w:t xml:space="preserve">the portfolio occur a daily review will take place. The Qualifying Investor AIF will </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5D64D0">
            <w:pPr>
              <w:spacing w:line="240" w:lineRule="auto"/>
              <w:jc w:val="both"/>
              <w:rPr>
                <w:rFonts w:ascii="Lato" w:hAnsi="Lato"/>
                <w:szCs w:val="22"/>
              </w:rPr>
            </w:pPr>
            <w:r w:rsidRPr="001D39EA">
              <w:rPr>
                <w:rFonts w:ascii="Lato" w:hAnsi="Lato"/>
                <w:szCs w:val="22"/>
              </w:rPr>
              <w:t xml:space="preserve">notify </w:t>
            </w:r>
            <w:r w:rsidRPr="001D39EA">
              <w:rPr>
                <w:rFonts w:ascii="Lato" w:hAnsi="Lato"/>
                <w:szCs w:val="22"/>
                <w:lang w:val="en-IE"/>
              </w:rPr>
              <w:t xml:space="preserve">the Central Bank with an indication of the action, if any, which will be taken to </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FD02C7">
            <w:pPr>
              <w:spacing w:line="240" w:lineRule="auto"/>
              <w:jc w:val="both"/>
              <w:rPr>
                <w:rFonts w:ascii="Lato" w:hAnsi="Lato"/>
                <w:szCs w:val="22"/>
              </w:rPr>
            </w:pPr>
            <w:r w:rsidRPr="001D39EA">
              <w:rPr>
                <w:rFonts w:ascii="Lato" w:hAnsi="Lato"/>
                <w:szCs w:val="22"/>
                <w:lang w:val="en-IE"/>
              </w:rPr>
              <w:t>reduce such dilution</w:t>
            </w: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7C5AFE" w:rsidP="002C343C">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rsidP="0086363F">
            <w:pPr>
              <w:spacing w:line="240" w:lineRule="auto"/>
              <w:jc w:val="right"/>
              <w:rPr>
                <w:rFonts w:ascii="Lato" w:hAnsi="Lato"/>
                <w:szCs w:val="22"/>
                <w:lang w:val="en-IE"/>
              </w:rPr>
            </w:pPr>
            <w:r w:rsidRPr="001D39EA">
              <w:rPr>
                <w:rFonts w:ascii="Lato" w:hAnsi="Lato"/>
                <w:szCs w:val="22"/>
                <w:lang w:val="en-IE"/>
              </w:rPr>
              <w:t>3.5.</w:t>
            </w:r>
            <w:r w:rsidR="0086363F" w:rsidRPr="001D39EA">
              <w:rPr>
                <w:rFonts w:ascii="Lato" w:hAnsi="Lato"/>
                <w:szCs w:val="22"/>
                <w:lang w:val="en-IE"/>
              </w:rPr>
              <w:t>4</w:t>
            </w:r>
            <w:r w:rsidR="00250034">
              <w:rPr>
                <w:rFonts w:ascii="Lato" w:hAnsi="Lato"/>
                <w:szCs w:val="22"/>
                <w:lang w:val="en-IE"/>
              </w:rPr>
              <w:t xml:space="preserve"> </w:t>
            </w:r>
            <w:r w:rsidR="0086363F" w:rsidRPr="001D39EA">
              <w:rPr>
                <w:rFonts w:ascii="Lato" w:hAnsi="Lato"/>
                <w:szCs w:val="22"/>
                <w:lang w:val="en-IE"/>
              </w:rPr>
              <w:t>(</w:t>
            </w:r>
            <w:r w:rsidRPr="001D39EA">
              <w:rPr>
                <w:rFonts w:ascii="Lato" w:hAnsi="Lato"/>
                <w:szCs w:val="22"/>
                <w:lang w:val="en-IE"/>
              </w:rPr>
              <w:t>ii)</w:t>
            </w:r>
          </w:p>
        </w:tc>
        <w:tc>
          <w:tcPr>
            <w:tcW w:w="9423" w:type="dxa"/>
            <w:gridSpan w:val="5"/>
            <w:tcBorders>
              <w:top w:val="nil"/>
              <w:left w:val="nil"/>
              <w:bottom w:val="nil"/>
              <w:right w:val="nil"/>
            </w:tcBorders>
          </w:tcPr>
          <w:p w:rsidR="007C5AFE" w:rsidRPr="001D39EA" w:rsidRDefault="007C5AFE" w:rsidP="0086363F">
            <w:pPr>
              <w:spacing w:line="240" w:lineRule="auto"/>
              <w:jc w:val="both"/>
              <w:rPr>
                <w:rFonts w:ascii="Lato" w:hAnsi="Lato"/>
                <w:szCs w:val="22"/>
              </w:rPr>
            </w:pPr>
            <w:r w:rsidRPr="001D39EA">
              <w:rPr>
                <w:rFonts w:ascii="Lato" w:hAnsi="Lato"/>
                <w:szCs w:val="22"/>
                <w:lang w:val="en-IE"/>
              </w:rPr>
              <w:t>Provide for the escalation procedures referred to in Section 3.5.</w:t>
            </w:r>
            <w:r w:rsidR="0086363F" w:rsidRPr="001D39EA">
              <w:rPr>
                <w:rFonts w:ascii="Lato" w:hAnsi="Lato"/>
                <w:szCs w:val="22"/>
                <w:lang w:val="en-IE"/>
              </w:rPr>
              <w:t>4</w:t>
            </w:r>
            <w:r w:rsidRPr="001D39EA">
              <w:rPr>
                <w:rFonts w:ascii="Lato" w:hAnsi="Lato"/>
                <w:szCs w:val="22"/>
                <w:lang w:val="en-IE"/>
              </w:rPr>
              <w:t xml:space="preserve"> (i) above; or</w:t>
            </w:r>
            <w:r w:rsidR="0086363F" w:rsidRPr="001D39EA">
              <w:rPr>
                <w:rFonts w:ascii="Lato" w:hAnsi="Lato"/>
                <w:szCs w:val="22"/>
                <w:lang w:val="en-IE"/>
              </w:rPr>
              <w:t xml:space="preserve"> alternatively provide that:</w:t>
            </w:r>
          </w:p>
        </w:tc>
        <w:tc>
          <w:tcPr>
            <w:tcW w:w="889" w:type="dxa"/>
            <w:gridSpan w:val="4"/>
            <w:tcBorders>
              <w:top w:val="nil"/>
              <w:left w:val="nil"/>
              <w:bottom w:val="single" w:sz="4" w:space="0" w:color="auto"/>
              <w:right w:val="nil"/>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single" w:sz="4" w:space="0" w:color="auto"/>
            </w:tcBorders>
          </w:tcPr>
          <w:p w:rsidR="007C5AFE" w:rsidRPr="001D39EA" w:rsidRDefault="007C5AFE">
            <w:pPr>
              <w:spacing w:line="240" w:lineRule="auto"/>
              <w:jc w:val="both"/>
              <w:rPr>
                <w:rFonts w:ascii="Lato" w:hAnsi="Lato"/>
                <w:szCs w:val="22"/>
              </w:rPr>
            </w:pPr>
            <w:r w:rsidRPr="001D39EA">
              <w:rPr>
                <w:rFonts w:ascii="Lato" w:hAnsi="Lato"/>
                <w:szCs w:val="22"/>
                <w:lang w:val="en-IE"/>
              </w:rPr>
              <w:t>A review of the amortised cost valuation vis-à-vis market valuation will be carried out in</w:t>
            </w:r>
            <w:r w:rsidR="0086363F" w:rsidRPr="001D39EA">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1D39EA" w:rsidRDefault="007C5AFE">
            <w:pPr>
              <w:spacing w:line="240" w:lineRule="auto"/>
              <w:rPr>
                <w:rFonts w:ascii="Lato" w:hAnsi="Lato"/>
                <w:szCs w:val="22"/>
                <w:lang w:val="en-IE"/>
              </w:rPr>
            </w:pPr>
          </w:p>
        </w:tc>
      </w:tr>
      <w:tr w:rsidR="00791B15"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7C5AFE" w:rsidRPr="001D39EA" w:rsidRDefault="007C5AFE">
            <w:pPr>
              <w:spacing w:line="240" w:lineRule="auto"/>
              <w:jc w:val="right"/>
              <w:rPr>
                <w:rFonts w:ascii="Lato" w:hAnsi="Lato"/>
                <w:szCs w:val="22"/>
                <w:lang w:val="en-IE"/>
              </w:rPr>
            </w:pPr>
          </w:p>
        </w:tc>
        <w:tc>
          <w:tcPr>
            <w:tcW w:w="9423" w:type="dxa"/>
            <w:gridSpan w:val="5"/>
            <w:tcBorders>
              <w:top w:val="nil"/>
              <w:left w:val="nil"/>
              <w:bottom w:val="nil"/>
              <w:right w:val="nil"/>
            </w:tcBorders>
          </w:tcPr>
          <w:p w:rsidR="007C5AFE" w:rsidRPr="001D39EA" w:rsidRDefault="00250034" w:rsidP="0086363F">
            <w:pPr>
              <w:spacing w:line="240" w:lineRule="auto"/>
              <w:jc w:val="both"/>
              <w:rPr>
                <w:rFonts w:ascii="Lato" w:hAnsi="Lato"/>
                <w:szCs w:val="22"/>
              </w:rPr>
            </w:pPr>
            <w:r w:rsidRPr="00F72ED7">
              <w:rPr>
                <w:rFonts w:ascii="Lato" w:hAnsi="Lato"/>
                <w:szCs w:val="22"/>
                <w:lang w:val="en-IE"/>
              </w:rPr>
              <w:t>accordance</w:t>
            </w:r>
            <w:r w:rsidRPr="00DC0539">
              <w:rPr>
                <w:rFonts w:ascii="Lato" w:hAnsi="Lato"/>
                <w:szCs w:val="22"/>
                <w:lang w:val="en-IE"/>
              </w:rPr>
              <w:t xml:space="preserve"> </w:t>
            </w:r>
            <w:r w:rsidR="005A2223" w:rsidRPr="001D39EA">
              <w:rPr>
                <w:rFonts w:ascii="Lato" w:hAnsi="Lato"/>
                <w:szCs w:val="22"/>
                <w:lang w:val="en-IE"/>
              </w:rPr>
              <w:t xml:space="preserve">with </w:t>
            </w:r>
            <w:r w:rsidR="007C5AFE" w:rsidRPr="001D39EA">
              <w:rPr>
                <w:rFonts w:ascii="Lato" w:hAnsi="Lato"/>
                <w:szCs w:val="22"/>
                <w:lang w:val="en-IE"/>
              </w:rPr>
              <w:t xml:space="preserve">the requirements of the Central Bank. Weekly reviews and any </w:t>
            </w:r>
            <w:r w:rsidR="0086363F" w:rsidRPr="001D39EA">
              <w:rPr>
                <w:rFonts w:ascii="Lato" w:hAnsi="Lato"/>
                <w:szCs w:val="22"/>
                <w:lang w:val="en-IE"/>
              </w:rPr>
              <w:t>engagement of escalation procedures will be clearly</w:t>
            </w:r>
            <w:r w:rsidR="005A2223" w:rsidRPr="001D39EA">
              <w:rPr>
                <w:rFonts w:ascii="Lato" w:hAnsi="Lato"/>
                <w:szCs w:val="22"/>
                <w:lang w:val="en-IE"/>
              </w:rPr>
              <w:t xml:space="preserve"> documented</w:t>
            </w:r>
            <w:r w:rsidR="0086363F" w:rsidRPr="001D39EA">
              <w:rPr>
                <w:rFonts w:ascii="Lato" w:hAnsi="Lato"/>
                <w:szCs w:val="22"/>
                <w:lang w:val="en-IE"/>
              </w:rPr>
              <w:t>.</w:t>
            </w:r>
          </w:p>
        </w:tc>
        <w:tc>
          <w:tcPr>
            <w:tcW w:w="889" w:type="dxa"/>
            <w:gridSpan w:val="4"/>
            <w:tcBorders>
              <w:top w:val="single" w:sz="4" w:space="0" w:color="auto"/>
              <w:left w:val="nil"/>
              <w:bottom w:val="nil"/>
              <w:right w:val="nil"/>
            </w:tcBorders>
          </w:tcPr>
          <w:p w:rsidR="007C5AFE" w:rsidRPr="001D39EA" w:rsidRDefault="007C5AFE">
            <w:pPr>
              <w:spacing w:line="240" w:lineRule="auto"/>
              <w:rPr>
                <w:rFonts w:ascii="Lato" w:hAnsi="Lato"/>
                <w:szCs w:val="22"/>
                <w:lang w:val="en-IE"/>
              </w:rPr>
            </w:pPr>
          </w:p>
        </w:tc>
      </w:tr>
      <w:tr w:rsidR="00627CD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25" w:type="dxa"/>
            <w:tcBorders>
              <w:top w:val="nil"/>
              <w:left w:val="nil"/>
              <w:bottom w:val="nil"/>
              <w:right w:val="nil"/>
            </w:tcBorders>
          </w:tcPr>
          <w:p w:rsidR="00627CDA" w:rsidRPr="001D39EA" w:rsidRDefault="00627CDA">
            <w:pPr>
              <w:spacing w:line="240" w:lineRule="auto"/>
              <w:jc w:val="right"/>
              <w:rPr>
                <w:rFonts w:ascii="Lato" w:hAnsi="Lato"/>
                <w:szCs w:val="22"/>
                <w:lang w:val="en-IE"/>
              </w:rPr>
            </w:pPr>
          </w:p>
        </w:tc>
        <w:tc>
          <w:tcPr>
            <w:tcW w:w="9423" w:type="dxa"/>
            <w:gridSpan w:val="5"/>
            <w:tcBorders>
              <w:top w:val="nil"/>
              <w:left w:val="nil"/>
              <w:bottom w:val="nil"/>
              <w:right w:val="nil"/>
            </w:tcBorders>
          </w:tcPr>
          <w:p w:rsidR="00627CDA" w:rsidRPr="001D39EA" w:rsidRDefault="00627CDA" w:rsidP="002C343C">
            <w:pPr>
              <w:spacing w:line="240" w:lineRule="auto"/>
              <w:jc w:val="both"/>
              <w:rPr>
                <w:rFonts w:ascii="Lato" w:hAnsi="Lato"/>
                <w:szCs w:val="22"/>
                <w:lang w:val="en-IE"/>
              </w:rPr>
            </w:pPr>
          </w:p>
        </w:tc>
        <w:tc>
          <w:tcPr>
            <w:tcW w:w="889" w:type="dxa"/>
            <w:gridSpan w:val="4"/>
            <w:tcBorders>
              <w:top w:val="nil"/>
              <w:left w:val="nil"/>
              <w:bottom w:val="nil"/>
              <w:right w:val="nil"/>
            </w:tcBorders>
          </w:tcPr>
          <w:p w:rsidR="00627CDA" w:rsidRPr="001D39EA" w:rsidRDefault="00627CDA">
            <w:pPr>
              <w:spacing w:line="240" w:lineRule="auto"/>
              <w:rPr>
                <w:rFonts w:ascii="Lato" w:hAnsi="Lato"/>
                <w:szCs w:val="22"/>
                <w:lang w:val="en-IE"/>
              </w:rPr>
            </w:pPr>
          </w:p>
        </w:tc>
      </w:tr>
      <w:tr w:rsidR="00627CD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single" w:sz="4" w:space="0" w:color="auto"/>
            </w:tcBorders>
          </w:tcPr>
          <w:p w:rsidR="00627CDA" w:rsidRPr="001D39EA" w:rsidRDefault="00627CDA" w:rsidP="00821635">
            <w:pPr>
              <w:spacing w:line="240" w:lineRule="auto"/>
              <w:rPr>
                <w:rFonts w:ascii="Lato" w:hAnsi="Lato"/>
                <w:b/>
                <w:bCs/>
                <w:szCs w:val="22"/>
                <w:lang w:val="en-IE"/>
              </w:rPr>
            </w:pPr>
            <w:r w:rsidRPr="001D39EA">
              <w:rPr>
                <w:rFonts w:ascii="Lato" w:hAnsi="Lato"/>
                <w:b/>
                <w:bCs/>
                <w:szCs w:val="22"/>
                <w:lang w:val="en-IE"/>
              </w:rPr>
              <w:t>3.6</w:t>
            </w:r>
          </w:p>
        </w:tc>
        <w:tc>
          <w:tcPr>
            <w:tcW w:w="9463" w:type="dxa"/>
            <w:gridSpan w:val="5"/>
            <w:tcBorders>
              <w:top w:val="single" w:sz="4" w:space="0" w:color="auto"/>
              <w:left w:val="single" w:sz="4" w:space="0" w:color="auto"/>
              <w:bottom w:val="single" w:sz="4" w:space="0" w:color="auto"/>
              <w:right w:val="single" w:sz="4" w:space="0" w:color="auto"/>
            </w:tcBorders>
          </w:tcPr>
          <w:p w:rsidR="00627CDA" w:rsidRPr="001D39EA" w:rsidRDefault="00627CDA" w:rsidP="00821635">
            <w:pPr>
              <w:pStyle w:val="Heading6"/>
              <w:jc w:val="both"/>
              <w:rPr>
                <w:rFonts w:ascii="Lato" w:hAnsi="Lato"/>
                <w:sz w:val="22"/>
                <w:szCs w:val="22"/>
                <w:lang w:val="en-IE"/>
              </w:rPr>
            </w:pPr>
            <w:r w:rsidRPr="001D39EA">
              <w:rPr>
                <w:rFonts w:ascii="Lato" w:hAnsi="Lato"/>
                <w:sz w:val="22"/>
                <w:szCs w:val="22"/>
                <w:lang w:val="en-IE"/>
              </w:rPr>
              <w:t>Fees and Expenses</w:t>
            </w:r>
          </w:p>
        </w:tc>
        <w:tc>
          <w:tcPr>
            <w:tcW w:w="709" w:type="dxa"/>
            <w:gridSpan w:val="2"/>
            <w:tcBorders>
              <w:top w:val="nil"/>
              <w:left w:val="single" w:sz="4" w:space="0" w:color="auto"/>
              <w:bottom w:val="nil"/>
              <w:right w:val="nil"/>
            </w:tcBorders>
          </w:tcPr>
          <w:p w:rsidR="00627CDA" w:rsidRPr="001D39EA" w:rsidRDefault="00627CDA" w:rsidP="00821635">
            <w:pPr>
              <w:spacing w:line="240" w:lineRule="auto"/>
              <w:rPr>
                <w:rFonts w:ascii="Lato" w:hAnsi="Lato"/>
                <w:szCs w:val="22"/>
                <w:lang w:val="en-IE"/>
              </w:rPr>
            </w:pPr>
          </w:p>
        </w:tc>
      </w:tr>
      <w:tr w:rsidR="00627CD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627CDA" w:rsidRPr="001D39EA" w:rsidRDefault="00627CDA" w:rsidP="00821635">
            <w:pPr>
              <w:spacing w:line="240" w:lineRule="auto"/>
              <w:rPr>
                <w:rFonts w:ascii="Lato" w:hAnsi="Lato"/>
                <w:szCs w:val="22"/>
                <w:lang w:val="en-IE"/>
              </w:rPr>
            </w:pPr>
          </w:p>
        </w:tc>
        <w:tc>
          <w:tcPr>
            <w:tcW w:w="9463" w:type="dxa"/>
            <w:gridSpan w:val="5"/>
            <w:tcBorders>
              <w:top w:val="single" w:sz="4" w:space="0" w:color="auto"/>
              <w:left w:val="nil"/>
              <w:bottom w:val="nil"/>
              <w:right w:val="nil"/>
            </w:tcBorders>
          </w:tcPr>
          <w:p w:rsidR="00627CDA" w:rsidRPr="001D39EA" w:rsidRDefault="00627CDA" w:rsidP="00821635">
            <w:pPr>
              <w:spacing w:line="240" w:lineRule="auto"/>
              <w:jc w:val="both"/>
              <w:rPr>
                <w:rFonts w:ascii="Lato" w:hAnsi="Lato"/>
                <w:szCs w:val="22"/>
                <w:lang w:val="en-IE"/>
              </w:rPr>
            </w:pPr>
          </w:p>
        </w:tc>
        <w:tc>
          <w:tcPr>
            <w:tcW w:w="709" w:type="dxa"/>
            <w:gridSpan w:val="2"/>
            <w:tcBorders>
              <w:top w:val="nil"/>
              <w:left w:val="nil"/>
              <w:bottom w:val="single" w:sz="4" w:space="0" w:color="auto"/>
              <w:right w:val="nil"/>
            </w:tcBorders>
          </w:tcPr>
          <w:p w:rsidR="00627CDA" w:rsidRPr="001D39EA" w:rsidRDefault="00627CDA"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821635">
            <w:pPr>
              <w:spacing w:line="240" w:lineRule="auto"/>
              <w:rPr>
                <w:rFonts w:ascii="Lato" w:hAnsi="Lato"/>
                <w:szCs w:val="22"/>
                <w:lang w:val="en-IE"/>
              </w:rPr>
            </w:pPr>
            <w:r w:rsidRPr="001D39EA">
              <w:rPr>
                <w:rFonts w:ascii="Lato" w:hAnsi="Lato"/>
                <w:szCs w:val="22"/>
                <w:lang w:val="en-IE"/>
              </w:rPr>
              <w:t>3.6.1</w:t>
            </w:r>
          </w:p>
        </w:tc>
        <w:tc>
          <w:tcPr>
            <w:tcW w:w="9463" w:type="dxa"/>
            <w:gridSpan w:val="5"/>
            <w:tcBorders>
              <w:top w:val="nil"/>
              <w:left w:val="nil"/>
              <w:bottom w:val="nil"/>
              <w:right w:val="single" w:sz="4" w:space="0" w:color="auto"/>
            </w:tcBorders>
          </w:tcPr>
          <w:p w:rsidR="00D43FA2" w:rsidRPr="001D39EA" w:rsidRDefault="00D43FA2" w:rsidP="0062628E">
            <w:pPr>
              <w:spacing w:line="240" w:lineRule="auto"/>
              <w:jc w:val="both"/>
              <w:rPr>
                <w:rFonts w:ascii="Lato" w:hAnsi="Lato"/>
                <w:szCs w:val="22"/>
                <w:lang w:val="en-IE"/>
              </w:rPr>
            </w:pPr>
            <w:r w:rsidRPr="001D39EA">
              <w:rPr>
                <w:rFonts w:ascii="Lato" w:hAnsi="Lato"/>
                <w:szCs w:val="22"/>
              </w:rPr>
              <w:t xml:space="preserve">Prescribe the </w:t>
            </w:r>
            <w:r w:rsidR="0062628E" w:rsidRPr="001D39EA">
              <w:rPr>
                <w:rFonts w:ascii="Lato" w:hAnsi="Lato"/>
                <w:szCs w:val="22"/>
              </w:rPr>
              <w:t>nature of</w:t>
            </w:r>
            <w:r w:rsidR="00E43ECB" w:rsidRPr="001D39EA">
              <w:rPr>
                <w:rFonts w:ascii="Lato" w:hAnsi="Lato"/>
                <w:szCs w:val="22"/>
              </w:rPr>
              <w:t xml:space="preserve"> costs to be borne by the</w:t>
            </w:r>
            <w:r w:rsidR="0062628E" w:rsidRPr="001D39EA">
              <w:rPr>
                <w:rFonts w:ascii="Lato" w:hAnsi="Lato"/>
                <w:szCs w:val="22"/>
              </w:rPr>
              <w:t xml:space="preserve"> Qualifying Investor AIF including:</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821635">
            <w:pPr>
              <w:spacing w:line="240" w:lineRule="auto"/>
              <w:rPr>
                <w:rFonts w:ascii="Lato" w:hAnsi="Lato"/>
                <w:szCs w:val="22"/>
                <w:lang w:val="en-IE"/>
              </w:rPr>
            </w:pPr>
          </w:p>
        </w:tc>
        <w:tc>
          <w:tcPr>
            <w:tcW w:w="9463" w:type="dxa"/>
            <w:gridSpan w:val="5"/>
            <w:tcBorders>
              <w:top w:val="nil"/>
              <w:left w:val="nil"/>
              <w:bottom w:val="nil"/>
              <w:right w:val="nil"/>
            </w:tcBorders>
          </w:tcPr>
          <w:p w:rsidR="00D43FA2" w:rsidRPr="001D39EA" w:rsidRDefault="00D43FA2" w:rsidP="00821635">
            <w:pPr>
              <w:spacing w:line="240" w:lineRule="auto"/>
              <w:jc w:val="both"/>
              <w:rPr>
                <w:rFonts w:ascii="Lato" w:hAnsi="Lato"/>
                <w:szCs w:val="22"/>
                <w:lang w:val="en-IE"/>
              </w:rPr>
            </w:pPr>
          </w:p>
        </w:tc>
        <w:tc>
          <w:tcPr>
            <w:tcW w:w="709" w:type="dxa"/>
            <w:gridSpan w:val="2"/>
            <w:tcBorders>
              <w:top w:val="single" w:sz="4" w:space="0" w:color="auto"/>
              <w:left w:val="nil"/>
              <w:bottom w:val="nil"/>
              <w:right w:val="nil"/>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1B7AAB">
            <w:pPr>
              <w:spacing w:line="240" w:lineRule="auto"/>
              <w:rPr>
                <w:rFonts w:ascii="Lato" w:hAnsi="Lato"/>
                <w:szCs w:val="22"/>
                <w:lang w:val="en-IE"/>
              </w:rPr>
            </w:pPr>
            <w:r w:rsidRPr="001D39EA">
              <w:rPr>
                <w:rFonts w:ascii="Lato" w:hAnsi="Lato"/>
                <w:szCs w:val="22"/>
                <w:lang w:val="en-IE"/>
              </w:rPr>
              <w:t>3.6.</w:t>
            </w:r>
            <w:r w:rsidR="001B7AAB" w:rsidRPr="001D39EA">
              <w:rPr>
                <w:rFonts w:ascii="Lato" w:hAnsi="Lato"/>
                <w:szCs w:val="22"/>
                <w:lang w:val="en-IE"/>
              </w:rPr>
              <w:t>2</w:t>
            </w:r>
          </w:p>
        </w:tc>
        <w:tc>
          <w:tcPr>
            <w:tcW w:w="9463" w:type="dxa"/>
            <w:gridSpan w:val="5"/>
            <w:tcBorders>
              <w:top w:val="nil"/>
              <w:left w:val="nil"/>
              <w:bottom w:val="nil"/>
              <w:right w:val="nil"/>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Provide for the following:</w:t>
            </w:r>
          </w:p>
        </w:tc>
        <w:tc>
          <w:tcPr>
            <w:tcW w:w="709" w:type="dxa"/>
            <w:gridSpan w:val="2"/>
            <w:tcBorders>
              <w:top w:val="nil"/>
              <w:left w:val="nil"/>
              <w:bottom w:val="single" w:sz="4" w:space="0" w:color="auto"/>
              <w:right w:val="nil"/>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AB7F28" w:rsidP="00415F4F">
            <w:pPr>
              <w:spacing w:line="240" w:lineRule="auto"/>
              <w:jc w:val="right"/>
              <w:rPr>
                <w:rFonts w:ascii="Lato" w:hAnsi="Lato"/>
                <w:szCs w:val="22"/>
                <w:lang w:val="en-IE"/>
              </w:rPr>
            </w:pPr>
            <w:r w:rsidRPr="001D39EA">
              <w:rPr>
                <w:rFonts w:ascii="Lato" w:hAnsi="Lato"/>
                <w:szCs w:val="22"/>
                <w:lang w:val="en-IE"/>
              </w:rPr>
              <w:t>(i)</w:t>
            </w: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Preliminary expenses</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AB7F28" w:rsidP="00415F4F">
            <w:pPr>
              <w:spacing w:line="240" w:lineRule="auto"/>
              <w:jc w:val="right"/>
              <w:rPr>
                <w:rFonts w:ascii="Lato" w:hAnsi="Lato"/>
                <w:szCs w:val="22"/>
                <w:lang w:val="en-IE"/>
              </w:rPr>
            </w:pPr>
            <w:r w:rsidRPr="001D39EA">
              <w:rPr>
                <w:rFonts w:ascii="Lato" w:hAnsi="Lato"/>
                <w:szCs w:val="22"/>
                <w:lang w:val="en-IE"/>
              </w:rPr>
              <w:t>(ii)</w:t>
            </w: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 xml:space="preserve">The regulatory fee; and </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AB7F28" w:rsidP="00415F4F">
            <w:pPr>
              <w:spacing w:line="240" w:lineRule="auto"/>
              <w:jc w:val="right"/>
              <w:rPr>
                <w:rFonts w:ascii="Lato" w:hAnsi="Lato"/>
                <w:szCs w:val="22"/>
                <w:lang w:val="en-IE"/>
              </w:rPr>
            </w:pPr>
            <w:r w:rsidRPr="001D39EA">
              <w:rPr>
                <w:rFonts w:ascii="Lato" w:hAnsi="Lato"/>
                <w:szCs w:val="22"/>
                <w:lang w:val="en-IE"/>
              </w:rPr>
              <w:t>(iii)</w:t>
            </w: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The cost of termination/liquidation</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AB7F28" w:rsidP="00415F4F">
            <w:pPr>
              <w:spacing w:line="240" w:lineRule="auto"/>
              <w:jc w:val="right"/>
              <w:rPr>
                <w:rFonts w:ascii="Lato" w:hAnsi="Lato"/>
                <w:szCs w:val="22"/>
                <w:lang w:val="en-IE"/>
              </w:rPr>
            </w:pPr>
            <w:r w:rsidRPr="001D39EA">
              <w:rPr>
                <w:rFonts w:ascii="Lato" w:hAnsi="Lato"/>
                <w:szCs w:val="22"/>
                <w:lang w:val="en-IE"/>
              </w:rPr>
              <w:t>(iv)</w:t>
            </w: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Other expenses</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415F4F">
            <w:pPr>
              <w:spacing w:line="240" w:lineRule="auto"/>
              <w:jc w:val="right"/>
              <w:rPr>
                <w:rFonts w:ascii="Lato" w:hAnsi="Lato"/>
                <w:szCs w:val="22"/>
                <w:lang w:val="en-IE"/>
              </w:rPr>
            </w:pPr>
          </w:p>
        </w:tc>
        <w:tc>
          <w:tcPr>
            <w:tcW w:w="9463" w:type="dxa"/>
            <w:gridSpan w:val="5"/>
            <w:tcBorders>
              <w:top w:val="nil"/>
              <w:left w:val="nil"/>
              <w:bottom w:val="nil"/>
              <w:right w:val="nil"/>
            </w:tcBorders>
          </w:tcPr>
          <w:p w:rsidR="00D43FA2" w:rsidRPr="001D39EA" w:rsidRDefault="00D43FA2" w:rsidP="00821635">
            <w:pPr>
              <w:spacing w:line="240" w:lineRule="auto"/>
              <w:jc w:val="both"/>
              <w:rPr>
                <w:rFonts w:ascii="Lato" w:hAnsi="Lato"/>
                <w:szCs w:val="22"/>
                <w:lang w:val="en-IE"/>
              </w:rPr>
            </w:pPr>
          </w:p>
        </w:tc>
        <w:tc>
          <w:tcPr>
            <w:tcW w:w="709" w:type="dxa"/>
            <w:gridSpan w:val="2"/>
            <w:tcBorders>
              <w:top w:val="single" w:sz="4" w:space="0" w:color="auto"/>
              <w:left w:val="nil"/>
              <w:bottom w:val="nil"/>
              <w:right w:val="nil"/>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AB7F28" w:rsidP="00415F4F">
            <w:pPr>
              <w:spacing w:line="240" w:lineRule="auto"/>
              <w:jc w:val="right"/>
              <w:rPr>
                <w:rFonts w:ascii="Lato" w:hAnsi="Lato"/>
                <w:szCs w:val="22"/>
                <w:lang w:val="en-IE"/>
              </w:rPr>
            </w:pPr>
            <w:r w:rsidRPr="001D39EA">
              <w:rPr>
                <w:rFonts w:ascii="Lato" w:hAnsi="Lato"/>
                <w:szCs w:val="22"/>
                <w:lang w:val="en-IE"/>
              </w:rPr>
              <w:t>(v)</w:t>
            </w:r>
          </w:p>
        </w:tc>
        <w:tc>
          <w:tcPr>
            <w:tcW w:w="9463" w:type="dxa"/>
            <w:gridSpan w:val="5"/>
            <w:tcBorders>
              <w:top w:val="nil"/>
              <w:left w:val="nil"/>
              <w:bottom w:val="nil"/>
              <w:right w:val="nil"/>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Fees and out of pocket expenses of all service providers including:</w:t>
            </w:r>
          </w:p>
        </w:tc>
        <w:tc>
          <w:tcPr>
            <w:tcW w:w="709" w:type="dxa"/>
            <w:gridSpan w:val="2"/>
            <w:tcBorders>
              <w:top w:val="nil"/>
              <w:left w:val="nil"/>
              <w:bottom w:val="single" w:sz="4" w:space="0" w:color="auto"/>
              <w:right w:val="nil"/>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821635">
            <w:pPr>
              <w:spacing w:line="240" w:lineRule="auto"/>
              <w:rPr>
                <w:rFonts w:ascii="Lato" w:hAnsi="Lato"/>
                <w:szCs w:val="22"/>
                <w:lang w:val="en-IE"/>
              </w:rPr>
            </w:pP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 a ) Depositary</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821635">
            <w:pPr>
              <w:spacing w:line="240" w:lineRule="auto"/>
              <w:rPr>
                <w:rFonts w:ascii="Lato" w:hAnsi="Lato"/>
                <w:szCs w:val="22"/>
                <w:lang w:val="en-IE"/>
              </w:rPr>
            </w:pP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 b ) Administrator</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821635">
            <w:pPr>
              <w:spacing w:line="240" w:lineRule="auto"/>
              <w:rPr>
                <w:rFonts w:ascii="Lato" w:hAnsi="Lato"/>
                <w:szCs w:val="22"/>
                <w:lang w:val="en-IE"/>
              </w:rPr>
            </w:pP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 c ) Investment Manager</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821635">
            <w:pPr>
              <w:spacing w:line="240" w:lineRule="auto"/>
              <w:rPr>
                <w:rFonts w:ascii="Lato" w:hAnsi="Lato"/>
                <w:szCs w:val="22"/>
                <w:lang w:val="en-IE"/>
              </w:rPr>
            </w:pP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 d ) Directors</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D43FA2"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D43FA2" w:rsidRPr="001D39EA" w:rsidRDefault="00D43FA2" w:rsidP="00821635">
            <w:pPr>
              <w:spacing w:line="240" w:lineRule="auto"/>
              <w:rPr>
                <w:rFonts w:ascii="Lato" w:hAnsi="Lato"/>
                <w:szCs w:val="22"/>
                <w:lang w:val="en-IE"/>
              </w:rPr>
            </w:pPr>
          </w:p>
        </w:tc>
        <w:tc>
          <w:tcPr>
            <w:tcW w:w="9463" w:type="dxa"/>
            <w:gridSpan w:val="5"/>
            <w:tcBorders>
              <w:top w:val="nil"/>
              <w:left w:val="nil"/>
              <w:bottom w:val="nil"/>
              <w:right w:val="single" w:sz="4" w:space="0" w:color="auto"/>
            </w:tcBorders>
          </w:tcPr>
          <w:p w:rsidR="00D43FA2" w:rsidRPr="001D39EA" w:rsidRDefault="00D43FA2" w:rsidP="00821635">
            <w:pPr>
              <w:spacing w:line="240" w:lineRule="auto"/>
              <w:jc w:val="both"/>
              <w:rPr>
                <w:rFonts w:ascii="Lato" w:hAnsi="Lato"/>
                <w:szCs w:val="22"/>
                <w:lang w:val="en-IE"/>
              </w:rPr>
            </w:pPr>
            <w:r w:rsidRPr="001D39EA">
              <w:rPr>
                <w:rFonts w:ascii="Lato" w:hAnsi="Lato"/>
                <w:szCs w:val="22"/>
              </w:rPr>
              <w:t>( e ) Others (as applicable)</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1D39EA" w:rsidRDefault="00D43FA2" w:rsidP="00821635">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821635">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821635">
            <w:pPr>
              <w:spacing w:line="240" w:lineRule="auto"/>
              <w:jc w:val="both"/>
              <w:rPr>
                <w:rFonts w:ascii="Lato" w:hAnsi="Lato"/>
                <w:szCs w:val="22"/>
              </w:rPr>
            </w:pPr>
          </w:p>
        </w:tc>
        <w:tc>
          <w:tcPr>
            <w:tcW w:w="709" w:type="dxa"/>
            <w:gridSpan w:val="2"/>
            <w:tcBorders>
              <w:top w:val="single" w:sz="4" w:space="0" w:color="auto"/>
              <w:left w:val="nil"/>
              <w:bottom w:val="nil"/>
              <w:right w:val="nil"/>
            </w:tcBorders>
          </w:tcPr>
          <w:p w:rsidR="0076188A" w:rsidRPr="001D39EA" w:rsidRDefault="0076188A" w:rsidP="00821635">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b/>
                <w:bCs/>
                <w:szCs w:val="22"/>
                <w:lang w:val="en-IE"/>
              </w:rPr>
            </w:pPr>
            <w:r w:rsidRPr="001D39EA">
              <w:rPr>
                <w:rFonts w:ascii="Lato" w:hAnsi="Lato"/>
                <w:b/>
                <w:bCs/>
                <w:szCs w:val="22"/>
                <w:lang w:val="en-IE"/>
              </w:rPr>
              <w:t>3.7</w:t>
            </w:r>
          </w:p>
        </w:tc>
        <w:tc>
          <w:tcPr>
            <w:tcW w:w="9463" w:type="dxa"/>
            <w:gridSpan w:val="5"/>
            <w:tcBorders>
              <w:top w:val="nil"/>
              <w:left w:val="nil"/>
              <w:bottom w:val="nil"/>
              <w:right w:val="nil"/>
            </w:tcBorders>
          </w:tcPr>
          <w:p w:rsidR="0076188A" w:rsidRPr="001D39EA" w:rsidRDefault="0076188A" w:rsidP="006E5461">
            <w:pPr>
              <w:pStyle w:val="Heading6"/>
              <w:jc w:val="both"/>
              <w:rPr>
                <w:rFonts w:ascii="Lato" w:hAnsi="Lato"/>
                <w:sz w:val="22"/>
                <w:szCs w:val="22"/>
                <w:lang w:val="en-IE"/>
              </w:rPr>
            </w:pPr>
            <w:r w:rsidRPr="001D39EA">
              <w:rPr>
                <w:rFonts w:ascii="Lato" w:hAnsi="Lato"/>
                <w:sz w:val="22"/>
                <w:szCs w:val="22"/>
                <w:lang w:val="en-IE"/>
              </w:rPr>
              <w:t>Appointment/Replacement of Depositary</w:t>
            </w:r>
          </w:p>
        </w:tc>
        <w:tc>
          <w:tcPr>
            <w:tcW w:w="709"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6E5461">
            <w:pPr>
              <w:spacing w:line="240" w:lineRule="auto"/>
              <w:jc w:val="both"/>
              <w:rPr>
                <w:rFonts w:ascii="Lato" w:hAnsi="Lato"/>
                <w:szCs w:val="22"/>
                <w:lang w:val="en-IE"/>
              </w:rPr>
            </w:pPr>
          </w:p>
        </w:tc>
        <w:tc>
          <w:tcPr>
            <w:tcW w:w="709" w:type="dxa"/>
            <w:gridSpan w:val="2"/>
            <w:tcBorders>
              <w:top w:val="nil"/>
              <w:left w:val="nil"/>
              <w:bottom w:val="single" w:sz="4" w:space="0" w:color="auto"/>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r w:rsidRPr="001D39EA">
              <w:rPr>
                <w:rFonts w:ascii="Lato" w:hAnsi="Lato"/>
                <w:szCs w:val="22"/>
                <w:lang w:val="en-IE"/>
              </w:rPr>
              <w:t>3.7.1</w:t>
            </w:r>
          </w:p>
        </w:tc>
        <w:tc>
          <w:tcPr>
            <w:tcW w:w="9463" w:type="dxa"/>
            <w:gridSpan w:val="5"/>
            <w:tcBorders>
              <w:top w:val="nil"/>
              <w:left w:val="nil"/>
              <w:bottom w:val="nil"/>
              <w:right w:val="single" w:sz="4" w:space="0" w:color="auto"/>
            </w:tcBorders>
          </w:tcPr>
          <w:p w:rsidR="0076188A" w:rsidRPr="001D39EA" w:rsidRDefault="0076188A" w:rsidP="006E5461">
            <w:pPr>
              <w:spacing w:line="240" w:lineRule="auto"/>
              <w:jc w:val="both"/>
              <w:rPr>
                <w:rFonts w:ascii="Lato" w:hAnsi="Lato"/>
                <w:szCs w:val="22"/>
                <w:lang w:val="en-IE"/>
              </w:rPr>
            </w:pPr>
            <w:r w:rsidRPr="001D39EA">
              <w:rPr>
                <w:rFonts w:ascii="Lato" w:hAnsi="Lato"/>
                <w:szCs w:val="22"/>
                <w:lang w:val="en-IE"/>
              </w:rPr>
              <w:t xml:space="preserve">Specify the circumstances under which there may be effected, and the procedure to be </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rPr>
            </w:pPr>
            <w:r w:rsidRPr="001D39EA">
              <w:rPr>
                <w:rFonts w:ascii="Lato" w:hAnsi="Lato"/>
                <w:color w:val="auto"/>
                <w:sz w:val="22"/>
                <w:szCs w:val="22"/>
                <w:lang w:val="en-IE"/>
              </w:rPr>
              <w:t>followed with respect to, the replacement of the depositary of the Qualifying Investor AIF with another depositary and outline provisions to ensure the protection of unitholders in the event of any such replacement</w:t>
            </w:r>
          </w:p>
        </w:tc>
        <w:tc>
          <w:tcPr>
            <w:tcW w:w="709" w:type="dxa"/>
            <w:gridSpan w:val="2"/>
            <w:tcBorders>
              <w:top w:val="single" w:sz="4" w:space="0" w:color="auto"/>
              <w:left w:val="nil"/>
              <w:bottom w:val="nil"/>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rPr>
            </w:pPr>
          </w:p>
        </w:tc>
        <w:tc>
          <w:tcPr>
            <w:tcW w:w="709" w:type="dxa"/>
            <w:gridSpan w:val="2"/>
            <w:tcBorders>
              <w:top w:val="nil"/>
              <w:left w:val="nil"/>
              <w:bottom w:val="single" w:sz="4" w:space="0" w:color="auto"/>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r w:rsidRPr="001D39EA">
              <w:rPr>
                <w:rFonts w:ascii="Lato" w:hAnsi="Lato"/>
                <w:szCs w:val="22"/>
                <w:lang w:val="en-IE"/>
              </w:rPr>
              <w:t xml:space="preserve">3.7.2 </w:t>
            </w:r>
          </w:p>
        </w:tc>
        <w:tc>
          <w:tcPr>
            <w:tcW w:w="9463" w:type="dxa"/>
            <w:gridSpan w:val="5"/>
            <w:tcBorders>
              <w:top w:val="nil"/>
              <w:left w:val="nil"/>
              <w:bottom w:val="nil"/>
              <w:right w:val="single" w:sz="4" w:space="0" w:color="auto"/>
            </w:tcBorders>
          </w:tcPr>
          <w:p w:rsidR="0076188A" w:rsidRPr="001D39EA" w:rsidRDefault="0076188A" w:rsidP="006E5461">
            <w:pPr>
              <w:pStyle w:val="Heading1"/>
              <w:spacing w:before="0" w:after="0" w:line="240" w:lineRule="auto"/>
              <w:jc w:val="both"/>
              <w:rPr>
                <w:rFonts w:ascii="Lato" w:hAnsi="Lato"/>
                <w:color w:val="auto"/>
                <w:sz w:val="22"/>
                <w:szCs w:val="22"/>
              </w:rPr>
            </w:pPr>
            <w:r w:rsidRPr="001D39EA">
              <w:rPr>
                <w:rFonts w:ascii="Lato" w:hAnsi="Lato"/>
                <w:color w:val="auto"/>
                <w:sz w:val="22"/>
                <w:szCs w:val="22"/>
                <w:lang w:val="en-IE"/>
              </w:rPr>
              <w:t>Provide that the Central Bank may replace the depositary with another depositary</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rPr>
            </w:pPr>
          </w:p>
        </w:tc>
        <w:tc>
          <w:tcPr>
            <w:tcW w:w="709" w:type="dxa"/>
            <w:gridSpan w:val="2"/>
            <w:tcBorders>
              <w:top w:val="single" w:sz="4" w:space="0" w:color="auto"/>
              <w:left w:val="nil"/>
              <w:bottom w:val="single" w:sz="4" w:space="0" w:color="auto"/>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r w:rsidRPr="001D39EA">
              <w:rPr>
                <w:rFonts w:ascii="Lato" w:hAnsi="Lato"/>
                <w:szCs w:val="22"/>
                <w:lang w:val="en-IE"/>
              </w:rPr>
              <w:t>3.7.3</w:t>
            </w:r>
          </w:p>
        </w:tc>
        <w:tc>
          <w:tcPr>
            <w:tcW w:w="9463" w:type="dxa"/>
            <w:gridSpan w:val="5"/>
            <w:tcBorders>
              <w:top w:val="nil"/>
              <w:left w:val="nil"/>
              <w:bottom w:val="nil"/>
              <w:right w:val="single" w:sz="4" w:space="0" w:color="auto"/>
            </w:tcBorders>
          </w:tcPr>
          <w:p w:rsidR="0076188A" w:rsidRPr="001D39EA" w:rsidRDefault="0076188A" w:rsidP="006E5461">
            <w:pPr>
              <w:pStyle w:val="Heading1"/>
              <w:spacing w:before="0" w:after="0" w:line="240" w:lineRule="auto"/>
              <w:jc w:val="both"/>
              <w:rPr>
                <w:rFonts w:ascii="Lato" w:hAnsi="Lato"/>
                <w:color w:val="auto"/>
                <w:sz w:val="22"/>
                <w:szCs w:val="22"/>
              </w:rPr>
            </w:pPr>
            <w:r w:rsidRPr="001D39EA">
              <w:rPr>
                <w:rFonts w:ascii="Lato" w:hAnsi="Lato"/>
                <w:color w:val="auto"/>
                <w:sz w:val="22"/>
                <w:szCs w:val="22"/>
                <w:lang w:val="en-IE"/>
              </w:rPr>
              <w:t xml:space="preserve">The depositary of a Qualifying Investor AIF may not be replaced without the </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lang w:val="en-IE"/>
              </w:rPr>
            </w:pPr>
            <w:r w:rsidRPr="001D39EA">
              <w:rPr>
                <w:rFonts w:ascii="Lato" w:hAnsi="Lato"/>
                <w:color w:val="auto"/>
                <w:sz w:val="22"/>
                <w:szCs w:val="22"/>
                <w:lang w:val="en-IE"/>
              </w:rPr>
              <w:t>approval of the Central Bank.</w:t>
            </w:r>
          </w:p>
        </w:tc>
        <w:tc>
          <w:tcPr>
            <w:tcW w:w="709" w:type="dxa"/>
            <w:gridSpan w:val="2"/>
            <w:tcBorders>
              <w:top w:val="single" w:sz="4" w:space="0" w:color="auto"/>
              <w:left w:val="nil"/>
              <w:bottom w:val="nil"/>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lang w:val="en-IE"/>
              </w:rPr>
            </w:pPr>
          </w:p>
        </w:tc>
        <w:tc>
          <w:tcPr>
            <w:tcW w:w="709"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r w:rsidRPr="001D39EA">
              <w:rPr>
                <w:rFonts w:ascii="Lato" w:hAnsi="Lato"/>
                <w:szCs w:val="22"/>
                <w:lang w:val="en-IE"/>
              </w:rPr>
              <w:t>3.7.4</w:t>
            </w: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lang w:val="en-IE"/>
              </w:rPr>
            </w:pPr>
            <w:r w:rsidRPr="001D39EA">
              <w:rPr>
                <w:rFonts w:ascii="Lato" w:hAnsi="Lato"/>
                <w:color w:val="auto"/>
                <w:sz w:val="22"/>
                <w:szCs w:val="22"/>
              </w:rPr>
              <w:t xml:space="preserve">Provide that: </w:t>
            </w:r>
          </w:p>
        </w:tc>
        <w:tc>
          <w:tcPr>
            <w:tcW w:w="709"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lang w:val="en-IE"/>
              </w:rPr>
            </w:pPr>
            <w:r w:rsidRPr="001D39EA">
              <w:rPr>
                <w:rFonts w:ascii="Lato" w:hAnsi="Lato"/>
                <w:color w:val="auto"/>
                <w:sz w:val="22"/>
                <w:szCs w:val="22"/>
              </w:rPr>
              <w:t>The Qualifying Investor AIF shall only terminate the appointment of the Depositary</w:t>
            </w:r>
          </w:p>
        </w:tc>
        <w:tc>
          <w:tcPr>
            <w:tcW w:w="709" w:type="dxa"/>
            <w:gridSpan w:val="2"/>
            <w:tcBorders>
              <w:top w:val="nil"/>
              <w:left w:val="nil"/>
              <w:bottom w:val="single" w:sz="4" w:space="0" w:color="auto"/>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jc w:val="right"/>
              <w:rPr>
                <w:rFonts w:ascii="Lato" w:hAnsi="Lato"/>
                <w:szCs w:val="22"/>
                <w:lang w:val="en-IE"/>
              </w:rPr>
            </w:pPr>
            <w:r w:rsidRPr="001D39EA">
              <w:rPr>
                <w:rFonts w:ascii="Lato" w:hAnsi="Lato"/>
                <w:szCs w:val="22"/>
                <w:lang w:val="en-IE"/>
              </w:rPr>
              <w:t>(a)</w:t>
            </w:r>
          </w:p>
        </w:tc>
        <w:tc>
          <w:tcPr>
            <w:tcW w:w="9463" w:type="dxa"/>
            <w:gridSpan w:val="5"/>
            <w:tcBorders>
              <w:top w:val="nil"/>
              <w:left w:val="nil"/>
              <w:bottom w:val="nil"/>
              <w:right w:val="single" w:sz="4" w:space="0" w:color="auto"/>
            </w:tcBorders>
          </w:tcPr>
          <w:p w:rsidR="0076188A" w:rsidRPr="001D39EA" w:rsidRDefault="0076188A" w:rsidP="006E5461">
            <w:pPr>
              <w:pStyle w:val="Heading1"/>
              <w:spacing w:before="0" w:after="0" w:line="240" w:lineRule="auto"/>
              <w:jc w:val="both"/>
              <w:rPr>
                <w:rFonts w:ascii="Lato" w:hAnsi="Lato"/>
                <w:color w:val="auto"/>
                <w:sz w:val="22"/>
                <w:szCs w:val="22"/>
                <w:lang w:val="en-IE"/>
              </w:rPr>
            </w:pPr>
            <w:r w:rsidRPr="001D39EA">
              <w:rPr>
                <w:rFonts w:ascii="Lato" w:hAnsi="Lato"/>
                <w:color w:val="auto"/>
                <w:sz w:val="22"/>
                <w:szCs w:val="22"/>
              </w:rPr>
              <w:t xml:space="preserve">Upon the appointment of a successor depositary or </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jc w:val="right"/>
              <w:rPr>
                <w:rFonts w:ascii="Lato" w:hAnsi="Lato"/>
                <w:szCs w:val="22"/>
                <w:lang w:val="en-IE"/>
              </w:rPr>
            </w:pPr>
            <w:r w:rsidRPr="001D39EA">
              <w:rPr>
                <w:rFonts w:ascii="Lato" w:hAnsi="Lato"/>
                <w:szCs w:val="22"/>
                <w:lang w:val="en-IE"/>
              </w:rPr>
              <w:t>(b)</w:t>
            </w:r>
          </w:p>
        </w:tc>
        <w:tc>
          <w:tcPr>
            <w:tcW w:w="9463" w:type="dxa"/>
            <w:gridSpan w:val="5"/>
            <w:tcBorders>
              <w:top w:val="nil"/>
              <w:left w:val="nil"/>
              <w:bottom w:val="nil"/>
              <w:right w:val="single" w:sz="4" w:space="0" w:color="auto"/>
            </w:tcBorders>
          </w:tcPr>
          <w:p w:rsidR="0076188A" w:rsidRPr="001D39EA" w:rsidRDefault="0076188A" w:rsidP="006E5461">
            <w:pPr>
              <w:pStyle w:val="Heading1"/>
              <w:spacing w:before="0" w:after="0" w:line="240" w:lineRule="auto"/>
              <w:jc w:val="both"/>
              <w:rPr>
                <w:rFonts w:ascii="Lato" w:hAnsi="Lato"/>
                <w:color w:val="auto"/>
                <w:sz w:val="22"/>
                <w:szCs w:val="22"/>
                <w:lang w:val="en-IE"/>
              </w:rPr>
            </w:pPr>
            <w:r w:rsidRPr="001D39EA">
              <w:rPr>
                <w:rFonts w:ascii="Lato" w:hAnsi="Lato"/>
                <w:color w:val="auto"/>
                <w:sz w:val="22"/>
                <w:szCs w:val="22"/>
              </w:rPr>
              <w:t>Upon the revocation of the authorisation of the Qualifying Investor AIF</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76188A" w:rsidRPr="00DC0539" w:rsidTr="00451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r w:rsidRPr="001D39EA">
              <w:rPr>
                <w:rFonts w:ascii="Lato" w:hAnsi="Lato"/>
                <w:szCs w:val="22"/>
                <w:lang w:val="en-IE"/>
              </w:rPr>
              <w:t xml:space="preserve">3.7.5 </w:t>
            </w:r>
            <w:r w:rsidR="004517A9" w:rsidRPr="001D39EA">
              <w:rPr>
                <w:rFonts w:ascii="Lato" w:hAnsi="Lato"/>
                <w:szCs w:val="22"/>
                <w:lang w:val="en-IE"/>
              </w:rPr>
              <w:t xml:space="preserve">  </w:t>
            </w:r>
            <w:r w:rsidRPr="001D39EA">
              <w:rPr>
                <w:rFonts w:ascii="Lato" w:hAnsi="Lato"/>
                <w:szCs w:val="22"/>
                <w:lang w:val="en-IE"/>
              </w:rPr>
              <w:t>a)</w:t>
            </w:r>
          </w:p>
        </w:tc>
        <w:tc>
          <w:tcPr>
            <w:tcW w:w="9463" w:type="dxa"/>
            <w:gridSpan w:val="5"/>
            <w:tcBorders>
              <w:top w:val="nil"/>
              <w:left w:val="nil"/>
              <w:bottom w:val="nil"/>
              <w:right w:val="single" w:sz="4" w:space="0" w:color="auto"/>
            </w:tcBorders>
          </w:tcPr>
          <w:p w:rsidR="0076188A" w:rsidRPr="001D39EA" w:rsidRDefault="0076188A" w:rsidP="006E5461">
            <w:pPr>
              <w:pStyle w:val="Heading1"/>
              <w:spacing w:before="0" w:after="0" w:line="240" w:lineRule="auto"/>
              <w:jc w:val="both"/>
              <w:rPr>
                <w:rFonts w:ascii="Lato" w:hAnsi="Lato"/>
                <w:color w:val="auto"/>
                <w:sz w:val="22"/>
                <w:szCs w:val="22"/>
                <w:lang w:val="en-IE"/>
              </w:rPr>
            </w:pPr>
            <w:r w:rsidRPr="001D39EA">
              <w:rPr>
                <w:rFonts w:ascii="Lato" w:hAnsi="Lato"/>
                <w:color w:val="auto"/>
                <w:sz w:val="22"/>
                <w:szCs w:val="22"/>
                <w:lang w:val="en-IE"/>
              </w:rPr>
              <w:t>The old depositary may not retire until a new depositary is appointed; and</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4517A9" w:rsidRPr="00DC0539" w:rsidTr="00451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4517A9" w:rsidRPr="001D39EA" w:rsidRDefault="004517A9" w:rsidP="006E5461">
            <w:pPr>
              <w:spacing w:line="240" w:lineRule="auto"/>
              <w:rPr>
                <w:rFonts w:ascii="Lato" w:hAnsi="Lato"/>
                <w:szCs w:val="22"/>
                <w:lang w:val="en-IE"/>
              </w:rPr>
            </w:pPr>
          </w:p>
        </w:tc>
        <w:tc>
          <w:tcPr>
            <w:tcW w:w="9463" w:type="dxa"/>
            <w:gridSpan w:val="5"/>
            <w:tcBorders>
              <w:top w:val="nil"/>
              <w:left w:val="nil"/>
              <w:bottom w:val="nil"/>
              <w:right w:val="nil"/>
            </w:tcBorders>
          </w:tcPr>
          <w:p w:rsidR="004517A9" w:rsidRPr="001D39EA" w:rsidRDefault="004517A9" w:rsidP="006E5461">
            <w:pPr>
              <w:pStyle w:val="Heading1"/>
              <w:spacing w:before="0" w:after="0" w:line="240" w:lineRule="auto"/>
              <w:jc w:val="both"/>
              <w:rPr>
                <w:rFonts w:ascii="Lato" w:hAnsi="Lato"/>
                <w:color w:val="auto"/>
                <w:sz w:val="22"/>
                <w:szCs w:val="22"/>
                <w:lang w:val="en-IE"/>
              </w:rPr>
            </w:pPr>
          </w:p>
        </w:tc>
        <w:tc>
          <w:tcPr>
            <w:tcW w:w="709" w:type="dxa"/>
            <w:gridSpan w:val="2"/>
            <w:tcBorders>
              <w:top w:val="single" w:sz="4" w:space="0" w:color="auto"/>
              <w:left w:val="nil"/>
              <w:bottom w:val="nil"/>
              <w:right w:val="nil"/>
            </w:tcBorders>
          </w:tcPr>
          <w:p w:rsidR="004517A9" w:rsidRPr="001D39EA" w:rsidRDefault="004517A9"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jc w:val="right"/>
              <w:rPr>
                <w:rFonts w:ascii="Lato" w:hAnsi="Lato"/>
                <w:szCs w:val="22"/>
                <w:lang w:val="en-IE"/>
              </w:rPr>
            </w:pPr>
            <w:r w:rsidRPr="001D39EA">
              <w:rPr>
                <w:rFonts w:ascii="Lato" w:hAnsi="Lato"/>
                <w:szCs w:val="22"/>
                <w:lang w:val="en-IE"/>
              </w:rPr>
              <w:t>b)</w:t>
            </w:r>
          </w:p>
        </w:tc>
        <w:tc>
          <w:tcPr>
            <w:tcW w:w="9463" w:type="dxa"/>
            <w:gridSpan w:val="5"/>
            <w:tcBorders>
              <w:top w:val="nil"/>
              <w:left w:val="nil"/>
              <w:bottom w:val="nil"/>
              <w:right w:val="nil"/>
            </w:tcBorders>
          </w:tcPr>
          <w:p w:rsidR="0076188A" w:rsidRPr="001D39EA" w:rsidRDefault="0076188A" w:rsidP="006E5461">
            <w:pPr>
              <w:pStyle w:val="Heading1"/>
              <w:spacing w:before="0" w:after="0" w:line="240" w:lineRule="auto"/>
              <w:jc w:val="both"/>
              <w:rPr>
                <w:rFonts w:ascii="Lato" w:hAnsi="Lato"/>
                <w:color w:val="auto"/>
                <w:sz w:val="22"/>
                <w:szCs w:val="22"/>
                <w:lang w:val="en-IE"/>
              </w:rPr>
            </w:pPr>
            <w:r w:rsidRPr="001D39EA">
              <w:rPr>
                <w:rFonts w:ascii="Lato" w:hAnsi="Lato"/>
                <w:color w:val="auto"/>
                <w:sz w:val="22"/>
                <w:szCs w:val="22"/>
                <w:lang w:val="en-IE"/>
              </w:rPr>
              <w:t>Where no new depositary is appointed, it is permitted to include the following:</w:t>
            </w:r>
          </w:p>
        </w:tc>
        <w:tc>
          <w:tcPr>
            <w:tcW w:w="709" w:type="dxa"/>
            <w:gridSpan w:val="2"/>
            <w:tcBorders>
              <w:top w:val="nil"/>
              <w:left w:val="nil"/>
              <w:bottom w:val="single" w:sz="4" w:space="0" w:color="auto"/>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single" w:sz="4" w:space="0" w:color="auto"/>
            </w:tcBorders>
          </w:tcPr>
          <w:p w:rsidR="0076188A" w:rsidRPr="001D39EA" w:rsidRDefault="0076188A" w:rsidP="006E5461">
            <w:pPr>
              <w:pStyle w:val="Heading1"/>
              <w:numPr>
                <w:ilvl w:val="0"/>
                <w:numId w:val="29"/>
              </w:numPr>
              <w:spacing w:before="0" w:after="0" w:line="240" w:lineRule="auto"/>
              <w:jc w:val="both"/>
              <w:rPr>
                <w:rFonts w:ascii="Lato" w:hAnsi="Lato"/>
                <w:color w:val="auto"/>
                <w:sz w:val="22"/>
                <w:szCs w:val="22"/>
                <w:lang w:val="en-IE"/>
              </w:rPr>
            </w:pPr>
            <w:r w:rsidRPr="001D39EA">
              <w:rPr>
                <w:rFonts w:ascii="Lato" w:hAnsi="Lato"/>
                <w:color w:val="auto"/>
                <w:sz w:val="22"/>
                <w:szCs w:val="22"/>
                <w:lang w:val="en-IE"/>
              </w:rPr>
              <w:t>a general meeting will be convened at which an ordinary resolution to wind up the</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872757" w:rsidP="004517A9">
            <w:pPr>
              <w:pStyle w:val="Heading1"/>
              <w:spacing w:before="0" w:after="0" w:line="240" w:lineRule="auto"/>
              <w:ind w:left="709"/>
              <w:jc w:val="both"/>
              <w:rPr>
                <w:rFonts w:ascii="Lato" w:hAnsi="Lato"/>
                <w:color w:val="auto"/>
                <w:sz w:val="22"/>
                <w:szCs w:val="22"/>
                <w:lang w:val="en-IE"/>
              </w:rPr>
            </w:pPr>
            <w:r w:rsidRPr="001D39EA">
              <w:rPr>
                <w:rFonts w:ascii="Lato" w:hAnsi="Lato"/>
                <w:color w:val="auto"/>
                <w:sz w:val="22"/>
                <w:szCs w:val="22"/>
                <w:lang w:val="en-IE"/>
              </w:rPr>
              <w:t>ICAV</w:t>
            </w:r>
            <w:r w:rsidR="0076188A" w:rsidRPr="001D39EA">
              <w:rPr>
                <w:rFonts w:ascii="Lato" w:hAnsi="Lato"/>
                <w:color w:val="auto"/>
                <w:sz w:val="22"/>
                <w:szCs w:val="22"/>
                <w:lang w:val="en-IE"/>
              </w:rPr>
              <w:t xml:space="preserve"> will be considered; and </w:t>
            </w:r>
          </w:p>
        </w:tc>
        <w:tc>
          <w:tcPr>
            <w:tcW w:w="709" w:type="dxa"/>
            <w:gridSpan w:val="2"/>
            <w:tcBorders>
              <w:top w:val="single" w:sz="4" w:space="0" w:color="auto"/>
              <w:left w:val="nil"/>
              <w:bottom w:val="single" w:sz="4" w:space="0" w:color="auto"/>
              <w:right w:val="nil"/>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single" w:sz="4" w:space="0" w:color="auto"/>
            </w:tcBorders>
          </w:tcPr>
          <w:p w:rsidR="0076188A" w:rsidRPr="001D39EA" w:rsidRDefault="0076188A" w:rsidP="006E5461">
            <w:pPr>
              <w:pStyle w:val="Heading1"/>
              <w:numPr>
                <w:ilvl w:val="0"/>
                <w:numId w:val="29"/>
              </w:numPr>
              <w:spacing w:before="0" w:after="0" w:line="240" w:lineRule="auto"/>
              <w:jc w:val="both"/>
              <w:rPr>
                <w:rFonts w:ascii="Lato" w:hAnsi="Lato"/>
                <w:color w:val="auto"/>
                <w:sz w:val="22"/>
                <w:szCs w:val="22"/>
                <w:lang w:val="en-IE"/>
              </w:rPr>
            </w:pPr>
            <w:r w:rsidRPr="001D39EA">
              <w:rPr>
                <w:rFonts w:ascii="Lato" w:hAnsi="Lato"/>
                <w:color w:val="auto"/>
                <w:sz w:val="22"/>
                <w:szCs w:val="22"/>
                <w:lang w:val="en-IE"/>
              </w:rPr>
              <w:t>the old depositary appointment shall only be terminated on the revocation of the</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1D39EA" w:rsidRDefault="0076188A" w:rsidP="006E5461">
            <w:pPr>
              <w:spacing w:line="240" w:lineRule="auto"/>
              <w:rPr>
                <w:rFonts w:ascii="Lato" w:hAnsi="Lato"/>
                <w:szCs w:val="22"/>
                <w:lang w:val="en-IE"/>
              </w:rPr>
            </w:pPr>
          </w:p>
        </w:tc>
      </w:tr>
      <w:tr w:rsidR="0076188A"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76188A" w:rsidRPr="001D39EA" w:rsidRDefault="0076188A" w:rsidP="006E5461">
            <w:pPr>
              <w:spacing w:line="240" w:lineRule="auto"/>
              <w:rPr>
                <w:rFonts w:ascii="Lato" w:hAnsi="Lato"/>
                <w:szCs w:val="22"/>
                <w:lang w:val="en-IE"/>
              </w:rPr>
            </w:pPr>
          </w:p>
        </w:tc>
        <w:tc>
          <w:tcPr>
            <w:tcW w:w="9463" w:type="dxa"/>
            <w:gridSpan w:val="5"/>
            <w:tcBorders>
              <w:top w:val="nil"/>
              <w:left w:val="nil"/>
              <w:bottom w:val="nil"/>
              <w:right w:val="nil"/>
            </w:tcBorders>
          </w:tcPr>
          <w:p w:rsidR="0076188A" w:rsidRPr="001D39EA" w:rsidRDefault="0076188A" w:rsidP="004517A9">
            <w:pPr>
              <w:pStyle w:val="Heading1"/>
              <w:spacing w:before="0" w:after="0" w:line="240" w:lineRule="auto"/>
              <w:ind w:left="709"/>
              <w:jc w:val="both"/>
              <w:rPr>
                <w:rFonts w:ascii="Lato" w:hAnsi="Lato"/>
                <w:color w:val="auto"/>
                <w:sz w:val="22"/>
                <w:szCs w:val="22"/>
                <w:lang w:val="en-IE"/>
              </w:rPr>
            </w:pPr>
            <w:r w:rsidRPr="001D39EA">
              <w:rPr>
                <w:rFonts w:ascii="Lato" w:hAnsi="Lato"/>
                <w:color w:val="auto"/>
                <w:sz w:val="22"/>
                <w:szCs w:val="22"/>
                <w:lang w:val="en-IE"/>
              </w:rPr>
              <w:t xml:space="preserve">Qualifying Investor AIF’s authorisation </w:t>
            </w:r>
          </w:p>
        </w:tc>
        <w:tc>
          <w:tcPr>
            <w:tcW w:w="709" w:type="dxa"/>
            <w:gridSpan w:val="2"/>
            <w:tcBorders>
              <w:top w:val="single" w:sz="4" w:space="0" w:color="auto"/>
              <w:left w:val="nil"/>
              <w:bottom w:val="nil"/>
              <w:right w:val="nil"/>
            </w:tcBorders>
          </w:tcPr>
          <w:p w:rsidR="0076188A" w:rsidRPr="001D39EA" w:rsidRDefault="0076188A" w:rsidP="006E5461">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3" w:type="dxa"/>
        </w:trPr>
        <w:tc>
          <w:tcPr>
            <w:tcW w:w="1027" w:type="dxa"/>
            <w:gridSpan w:val="2"/>
            <w:tcBorders>
              <w:top w:val="nil"/>
              <w:left w:val="nil"/>
              <w:bottom w:val="nil"/>
              <w:right w:val="nil"/>
            </w:tcBorders>
          </w:tcPr>
          <w:p w:rsidR="0062628E" w:rsidRPr="001D39EA" w:rsidRDefault="0062628E" w:rsidP="006E5461">
            <w:pPr>
              <w:spacing w:line="240" w:lineRule="auto"/>
              <w:rPr>
                <w:rFonts w:ascii="Lato" w:hAnsi="Lato"/>
                <w:szCs w:val="22"/>
                <w:lang w:val="en-IE"/>
              </w:rPr>
            </w:pPr>
          </w:p>
        </w:tc>
        <w:tc>
          <w:tcPr>
            <w:tcW w:w="9463" w:type="dxa"/>
            <w:gridSpan w:val="5"/>
            <w:tcBorders>
              <w:top w:val="nil"/>
              <w:left w:val="nil"/>
              <w:bottom w:val="nil"/>
              <w:right w:val="nil"/>
            </w:tcBorders>
          </w:tcPr>
          <w:p w:rsidR="0062628E" w:rsidRPr="001D39EA" w:rsidRDefault="0062628E" w:rsidP="006E5461">
            <w:pPr>
              <w:pStyle w:val="Heading1"/>
              <w:spacing w:before="0" w:after="0" w:line="240" w:lineRule="auto"/>
              <w:jc w:val="both"/>
              <w:rPr>
                <w:rFonts w:ascii="Lato" w:hAnsi="Lato"/>
                <w:color w:val="auto"/>
                <w:sz w:val="22"/>
                <w:szCs w:val="22"/>
                <w:lang w:val="en-IE"/>
              </w:rPr>
            </w:pPr>
          </w:p>
        </w:tc>
        <w:tc>
          <w:tcPr>
            <w:tcW w:w="709" w:type="dxa"/>
            <w:gridSpan w:val="2"/>
            <w:tcBorders>
              <w:top w:val="nil"/>
              <w:left w:val="nil"/>
              <w:bottom w:val="nil"/>
              <w:right w:val="nil"/>
            </w:tcBorders>
          </w:tcPr>
          <w:p w:rsidR="0062628E" w:rsidRPr="001D39EA" w:rsidRDefault="0062628E" w:rsidP="006E5461">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single" w:sz="4" w:space="0" w:color="auto"/>
            </w:tcBorders>
          </w:tcPr>
          <w:p w:rsidR="0062628E" w:rsidRPr="001D39EA" w:rsidRDefault="0062628E" w:rsidP="002473A6">
            <w:pPr>
              <w:spacing w:line="240" w:lineRule="auto"/>
              <w:rPr>
                <w:rFonts w:ascii="Lato" w:hAnsi="Lato"/>
                <w:b/>
                <w:bCs/>
                <w:szCs w:val="22"/>
                <w:lang w:val="en-IE"/>
              </w:rPr>
            </w:pPr>
            <w:r w:rsidRPr="001D39EA">
              <w:rPr>
                <w:rFonts w:ascii="Lato" w:hAnsi="Lato"/>
                <w:b/>
                <w:bCs/>
                <w:szCs w:val="22"/>
                <w:lang w:val="en-IE"/>
              </w:rPr>
              <w:t>3.8</w:t>
            </w:r>
          </w:p>
        </w:tc>
        <w:tc>
          <w:tcPr>
            <w:tcW w:w="9356"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pStyle w:val="Heading6"/>
              <w:jc w:val="both"/>
              <w:rPr>
                <w:rFonts w:ascii="Lato" w:hAnsi="Lato"/>
                <w:sz w:val="22"/>
                <w:szCs w:val="22"/>
                <w:lang w:val="en-IE"/>
              </w:rPr>
            </w:pPr>
            <w:r w:rsidRPr="001D39EA">
              <w:rPr>
                <w:rFonts w:ascii="Lato" w:hAnsi="Lato"/>
                <w:sz w:val="22"/>
                <w:szCs w:val="22"/>
                <w:lang w:val="en-IE"/>
              </w:rPr>
              <w:t xml:space="preserve">Procedure for the replacement of a Management Company </w:t>
            </w:r>
          </w:p>
        </w:tc>
        <w:tc>
          <w:tcPr>
            <w:tcW w:w="852" w:type="dxa"/>
            <w:gridSpan w:val="4"/>
            <w:tcBorders>
              <w:top w:val="nil"/>
              <w:left w:val="single" w:sz="4" w:space="0" w:color="auto"/>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single" w:sz="4" w:space="0" w:color="auto"/>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134" w:type="dxa"/>
            <w:gridSpan w:val="3"/>
            <w:vMerge w:val="restart"/>
            <w:tcBorders>
              <w:top w:val="nil"/>
              <w:left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3.8.1</w:t>
            </w:r>
          </w:p>
        </w:tc>
        <w:tc>
          <w:tcPr>
            <w:tcW w:w="9356" w:type="dxa"/>
            <w:gridSpan w:val="4"/>
            <w:vMerge w:val="restart"/>
            <w:tcBorders>
              <w:top w:val="nil"/>
              <w:left w:val="nil"/>
              <w:right w:val="single" w:sz="4" w:space="0" w:color="auto"/>
            </w:tcBorders>
          </w:tcPr>
          <w:p w:rsidR="0062628E" w:rsidRPr="001D39EA" w:rsidRDefault="0062628E" w:rsidP="001B7AAB">
            <w:pPr>
              <w:pStyle w:val="Heading1"/>
              <w:spacing w:before="0" w:after="0" w:line="240" w:lineRule="auto"/>
              <w:jc w:val="both"/>
              <w:rPr>
                <w:rFonts w:ascii="Lato" w:hAnsi="Lato"/>
                <w:color w:val="auto"/>
                <w:sz w:val="22"/>
                <w:szCs w:val="22"/>
              </w:rPr>
            </w:pPr>
            <w:r w:rsidRPr="001D39EA">
              <w:rPr>
                <w:rFonts w:ascii="Lato" w:hAnsi="Lato"/>
                <w:color w:val="auto"/>
                <w:sz w:val="22"/>
                <w:szCs w:val="22"/>
              </w:rPr>
              <w:t>Specify the circumstances under which there may be effected and the procedure for the replacement of the management company and specify the provisions to ensure the protection of shareholders in the event of such replacement</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vMerge/>
            <w:tcBorders>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vMerge/>
            <w:tcBorders>
              <w:left w:val="nil"/>
              <w:bottom w:val="nil"/>
              <w:right w:val="nil"/>
            </w:tcBorders>
          </w:tcPr>
          <w:p w:rsidR="0062628E" w:rsidRPr="001D39EA" w:rsidRDefault="0062628E" w:rsidP="002473A6">
            <w:pPr>
              <w:pStyle w:val="Heading1"/>
              <w:spacing w:before="0" w:after="0" w:line="240" w:lineRule="auto"/>
              <w:jc w:val="both"/>
              <w:rPr>
                <w:rFonts w:ascii="Lato" w:hAnsi="Lato"/>
                <w:color w:val="auto"/>
                <w:sz w:val="22"/>
                <w:szCs w:val="22"/>
              </w:rPr>
            </w:pP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pStyle w:val="Heading1"/>
              <w:spacing w:before="0" w:after="0" w:line="240" w:lineRule="auto"/>
              <w:jc w:val="both"/>
              <w:rPr>
                <w:rFonts w:ascii="Lato" w:hAnsi="Lato"/>
                <w:color w:val="auto"/>
                <w:sz w:val="22"/>
                <w:szCs w:val="22"/>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134" w:type="dxa"/>
            <w:gridSpan w:val="3"/>
            <w:vMerge w:val="restart"/>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3.8.2</w:t>
            </w:r>
          </w:p>
        </w:tc>
        <w:tc>
          <w:tcPr>
            <w:tcW w:w="9356" w:type="dxa"/>
            <w:gridSpan w:val="4"/>
            <w:vMerge w:val="restart"/>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lang w:val="en-IE"/>
              </w:rPr>
              <w:t>Provide that the appointment of the replacement management company must be approved by the Central Bank</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vMerge/>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vMerge/>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3.8.3</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lang w:val="en-IE"/>
              </w:rPr>
              <w:t>Provide that the Central Bank may replace the management company</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single" w:sz="4" w:space="0" w:color="auto"/>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single" w:sz="4" w:space="0" w:color="auto"/>
            </w:tcBorders>
          </w:tcPr>
          <w:p w:rsidR="0062628E" w:rsidRPr="001D39EA" w:rsidRDefault="0062628E" w:rsidP="002473A6">
            <w:pPr>
              <w:spacing w:line="240" w:lineRule="auto"/>
              <w:rPr>
                <w:rFonts w:ascii="Lato" w:hAnsi="Lato"/>
                <w:b/>
                <w:szCs w:val="22"/>
                <w:lang w:val="en-IE"/>
              </w:rPr>
            </w:pPr>
            <w:r w:rsidRPr="001D39EA">
              <w:rPr>
                <w:rFonts w:ascii="Lato" w:hAnsi="Lato"/>
                <w:b/>
                <w:szCs w:val="22"/>
                <w:lang w:val="en-IE"/>
              </w:rPr>
              <w:t>3.9</w:t>
            </w:r>
          </w:p>
        </w:tc>
        <w:tc>
          <w:tcPr>
            <w:tcW w:w="9356"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b/>
                <w:bCs/>
                <w:szCs w:val="22"/>
              </w:rPr>
              <w:t xml:space="preserve">Procedures for the replacement of the AIFM </w:t>
            </w:r>
          </w:p>
        </w:tc>
        <w:tc>
          <w:tcPr>
            <w:tcW w:w="852" w:type="dxa"/>
            <w:gridSpan w:val="4"/>
            <w:tcBorders>
              <w:top w:val="nil"/>
              <w:left w:val="single" w:sz="4" w:space="0" w:color="auto"/>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single" w:sz="4" w:space="0" w:color="auto"/>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3.9.1</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rPr>
              <w:t>Specify the circumstances under which there may be effected and the procedure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1B7AAB">
            <w:pPr>
              <w:spacing w:line="240" w:lineRule="auto"/>
              <w:jc w:val="both"/>
              <w:rPr>
                <w:rFonts w:ascii="Lato" w:hAnsi="Lato"/>
                <w:szCs w:val="22"/>
                <w:lang w:val="en-IE"/>
              </w:rPr>
            </w:pPr>
            <w:r w:rsidRPr="001D39EA">
              <w:rPr>
                <w:rFonts w:ascii="Lato" w:hAnsi="Lato"/>
                <w:szCs w:val="22"/>
              </w:rPr>
              <w:t>for the replacement of the AIFM and specify the provisions to ensure the protection of shareholders in the event of such replacement</w:t>
            </w: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3.9.2</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rPr>
              <w:t>Provide that the appointment of the replacement AIFM must be approved by the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rPr>
              <w:t>Central Bank</w:t>
            </w: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3.9.3</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rPr>
            </w:pPr>
            <w:r w:rsidRPr="001D39EA">
              <w:rPr>
                <w:rFonts w:ascii="Lato" w:hAnsi="Lato"/>
                <w:szCs w:val="22"/>
                <w:lang w:val="en-IE"/>
              </w:rPr>
              <w:t>Provide that the Central Bank may replace the AIFM</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single" w:sz="4" w:space="0" w:color="auto"/>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single" w:sz="4" w:space="0" w:color="auto"/>
            </w:tcBorders>
          </w:tcPr>
          <w:p w:rsidR="0062628E" w:rsidRPr="001D39EA" w:rsidRDefault="0062628E" w:rsidP="002473A6">
            <w:pPr>
              <w:spacing w:line="240" w:lineRule="auto"/>
              <w:rPr>
                <w:rFonts w:ascii="Lato" w:hAnsi="Lato"/>
                <w:b/>
                <w:bCs/>
                <w:szCs w:val="22"/>
                <w:lang w:val="en-IE"/>
              </w:rPr>
            </w:pPr>
            <w:r w:rsidRPr="001D39EA">
              <w:rPr>
                <w:rFonts w:ascii="Lato" w:hAnsi="Lato"/>
                <w:b/>
                <w:bCs/>
                <w:szCs w:val="22"/>
                <w:lang w:val="en-IE"/>
              </w:rPr>
              <w:t>3.10</w:t>
            </w:r>
          </w:p>
        </w:tc>
        <w:tc>
          <w:tcPr>
            <w:tcW w:w="9356"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pStyle w:val="Heading6"/>
              <w:jc w:val="both"/>
              <w:rPr>
                <w:rFonts w:ascii="Lato" w:hAnsi="Lato"/>
                <w:sz w:val="22"/>
                <w:szCs w:val="22"/>
                <w:lang w:val="en-IE"/>
              </w:rPr>
            </w:pPr>
            <w:r w:rsidRPr="001D39EA">
              <w:rPr>
                <w:rFonts w:ascii="Lato" w:hAnsi="Lato"/>
                <w:sz w:val="22"/>
                <w:szCs w:val="22"/>
                <w:lang w:val="en-IE"/>
              </w:rPr>
              <w:t>Distributions/Dividends</w:t>
            </w:r>
          </w:p>
        </w:tc>
        <w:tc>
          <w:tcPr>
            <w:tcW w:w="852" w:type="dxa"/>
            <w:gridSpan w:val="4"/>
            <w:tcBorders>
              <w:top w:val="nil"/>
              <w:left w:val="single" w:sz="4" w:space="0" w:color="auto"/>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single" w:sz="4" w:space="0" w:color="auto"/>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3.10.1</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lang w:val="en-IE"/>
              </w:rPr>
              <w:t>Specify the conditions and manner of the application of income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single" w:sz="4" w:space="0" w:color="auto"/>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single" w:sz="4" w:space="0" w:color="auto"/>
            </w:tcBorders>
          </w:tcPr>
          <w:p w:rsidR="0062628E" w:rsidRPr="001D39EA" w:rsidRDefault="0062628E" w:rsidP="002473A6">
            <w:pPr>
              <w:spacing w:line="240" w:lineRule="auto"/>
              <w:rPr>
                <w:rFonts w:ascii="Lato" w:hAnsi="Lato"/>
                <w:b/>
                <w:bCs/>
                <w:szCs w:val="22"/>
                <w:lang w:val="en-IE"/>
              </w:rPr>
            </w:pPr>
            <w:r w:rsidRPr="001D39EA">
              <w:rPr>
                <w:rFonts w:ascii="Lato" w:hAnsi="Lato"/>
                <w:b/>
                <w:bCs/>
                <w:szCs w:val="22"/>
                <w:lang w:val="en-IE"/>
              </w:rPr>
              <w:t>3.11</w:t>
            </w:r>
          </w:p>
        </w:tc>
        <w:tc>
          <w:tcPr>
            <w:tcW w:w="9356"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pStyle w:val="Heading6"/>
              <w:jc w:val="both"/>
              <w:rPr>
                <w:rFonts w:ascii="Lato" w:hAnsi="Lato"/>
                <w:sz w:val="22"/>
                <w:szCs w:val="22"/>
                <w:lang w:val="en-IE"/>
              </w:rPr>
            </w:pPr>
            <w:r w:rsidRPr="001D39EA">
              <w:rPr>
                <w:rFonts w:ascii="Lato" w:hAnsi="Lato"/>
                <w:sz w:val="22"/>
                <w:szCs w:val="22"/>
                <w:lang w:val="en-IE"/>
              </w:rPr>
              <w:t>Borrowing Powers</w:t>
            </w:r>
          </w:p>
        </w:tc>
        <w:tc>
          <w:tcPr>
            <w:tcW w:w="852" w:type="dxa"/>
            <w:gridSpan w:val="4"/>
            <w:tcBorders>
              <w:top w:val="nil"/>
              <w:left w:val="single" w:sz="4" w:space="0" w:color="auto"/>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single" w:sz="4" w:space="0" w:color="auto"/>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3.11.1</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lang w:val="en-IE"/>
              </w:rPr>
              <w:t xml:space="preserve">Provide where relevant for the power to borrow </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single" w:sz="4" w:space="0" w:color="auto"/>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4" w:type="dxa"/>
            <w:gridSpan w:val="3"/>
            <w:tcBorders>
              <w:top w:val="nil"/>
              <w:left w:val="nil"/>
              <w:bottom w:val="nil"/>
              <w:right w:val="single" w:sz="4" w:space="0" w:color="auto"/>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3.12</w:t>
            </w:r>
          </w:p>
        </w:tc>
        <w:tc>
          <w:tcPr>
            <w:tcW w:w="9356"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62628E">
            <w:pPr>
              <w:rPr>
                <w:rFonts w:ascii="Lato" w:hAnsi="Lato"/>
                <w:b/>
                <w:szCs w:val="22"/>
                <w:lang w:val="en-IE"/>
              </w:rPr>
            </w:pPr>
            <w:r w:rsidRPr="001D39EA">
              <w:rPr>
                <w:rFonts w:ascii="Lato" w:hAnsi="Lato"/>
                <w:b/>
                <w:szCs w:val="22"/>
                <w:lang w:val="en-IE"/>
              </w:rPr>
              <w:t>Umbrella Funds</w:t>
            </w:r>
          </w:p>
        </w:tc>
        <w:tc>
          <w:tcPr>
            <w:tcW w:w="852" w:type="dxa"/>
            <w:gridSpan w:val="4"/>
            <w:tcBorders>
              <w:top w:val="nil"/>
              <w:left w:val="single" w:sz="4" w:space="0" w:color="auto"/>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single" w:sz="4" w:space="0" w:color="auto"/>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3.12.1</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lang w:val="en-IE"/>
              </w:rPr>
              <w:t>Specify ‘an umbrella scheme with segregated liability between sub-funds’ on cover page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lang w:val="en-IE"/>
              </w:rPr>
              <w:t>Provide that:</w:t>
            </w: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3.12.2</w:t>
            </w:r>
          </w:p>
        </w:tc>
        <w:tc>
          <w:tcPr>
            <w:tcW w:w="9356" w:type="dxa"/>
            <w:gridSpan w:val="4"/>
            <w:tcBorders>
              <w:top w:val="nil"/>
              <w:left w:val="nil"/>
              <w:bottom w:val="nil"/>
              <w:right w:val="single" w:sz="4" w:space="0" w:color="auto"/>
            </w:tcBorders>
          </w:tcPr>
          <w:p w:rsidR="0062628E" w:rsidRPr="001D39EA" w:rsidRDefault="0062628E" w:rsidP="002473A6">
            <w:pPr>
              <w:spacing w:line="240" w:lineRule="auto"/>
              <w:jc w:val="both"/>
              <w:rPr>
                <w:rFonts w:ascii="Lato" w:hAnsi="Lato"/>
                <w:szCs w:val="22"/>
                <w:lang w:val="en-IE"/>
              </w:rPr>
            </w:pPr>
            <w:r w:rsidRPr="001D39EA">
              <w:rPr>
                <w:rFonts w:ascii="Lato" w:hAnsi="Lato"/>
                <w:szCs w:val="22"/>
                <w:lang w:val="en-IE"/>
              </w:rPr>
              <w:t>New sub-funds can only be established with the prior approval of the Central Bank</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r w:rsidRPr="001D39EA">
              <w:rPr>
                <w:rFonts w:ascii="Lato" w:hAnsi="Lato"/>
                <w:szCs w:val="22"/>
                <w:lang w:val="en-IE"/>
              </w:rPr>
              <w:t>3.12.3</w:t>
            </w:r>
          </w:p>
        </w:tc>
        <w:tc>
          <w:tcPr>
            <w:tcW w:w="9356" w:type="dxa"/>
            <w:gridSpan w:val="4"/>
            <w:tcBorders>
              <w:top w:val="nil"/>
              <w:left w:val="nil"/>
              <w:bottom w:val="nil"/>
              <w:right w:val="single" w:sz="4" w:space="0" w:color="auto"/>
            </w:tcBorders>
          </w:tcPr>
          <w:p w:rsidR="0062628E" w:rsidRPr="001D39EA" w:rsidRDefault="0062628E">
            <w:pPr>
              <w:spacing w:line="240" w:lineRule="auto"/>
              <w:jc w:val="both"/>
              <w:rPr>
                <w:rFonts w:ascii="Lato" w:hAnsi="Lato"/>
                <w:szCs w:val="22"/>
                <w:lang w:val="en-IE"/>
              </w:rPr>
            </w:pPr>
            <w:r w:rsidRPr="001D39EA">
              <w:rPr>
                <w:rFonts w:ascii="Lato" w:hAnsi="Lato"/>
                <w:szCs w:val="22"/>
                <w:lang w:val="en-IE"/>
              </w:rPr>
              <w:t xml:space="preserve">Separate records will be maintained for each sub-fund with the assets and liabilities being </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250034" w:rsidP="002473A6">
            <w:pPr>
              <w:spacing w:line="240" w:lineRule="auto"/>
              <w:jc w:val="both"/>
              <w:rPr>
                <w:rFonts w:ascii="Lato" w:hAnsi="Lato"/>
                <w:szCs w:val="22"/>
                <w:lang w:val="en-IE"/>
              </w:rPr>
            </w:pPr>
            <w:r w:rsidRPr="00F72ED7">
              <w:rPr>
                <w:rFonts w:ascii="Lato" w:hAnsi="Lato"/>
                <w:szCs w:val="22"/>
                <w:lang w:val="en-IE"/>
              </w:rPr>
              <w:t xml:space="preserve">allocated to </w:t>
            </w:r>
            <w:r w:rsidR="0062628E" w:rsidRPr="001D39EA">
              <w:rPr>
                <w:rFonts w:ascii="Lato" w:hAnsi="Lato"/>
                <w:szCs w:val="22"/>
                <w:lang w:val="en-IE"/>
              </w:rPr>
              <w:t>each sub-fund;</w:t>
            </w: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2473A6">
            <w:pPr>
              <w:spacing w:line="240" w:lineRule="auto"/>
              <w:rPr>
                <w:rFonts w:ascii="Lato" w:hAnsi="Lato"/>
                <w:szCs w:val="22"/>
                <w:lang w:val="en-IE"/>
              </w:rPr>
            </w:pPr>
          </w:p>
        </w:tc>
        <w:tc>
          <w:tcPr>
            <w:tcW w:w="9356" w:type="dxa"/>
            <w:gridSpan w:val="4"/>
            <w:tcBorders>
              <w:top w:val="nil"/>
              <w:left w:val="nil"/>
              <w:bottom w:val="nil"/>
              <w:right w:val="nil"/>
            </w:tcBorders>
          </w:tcPr>
          <w:p w:rsidR="0062628E" w:rsidRPr="001D39EA"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1D39EA" w:rsidRDefault="0062628E"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62628E">
            <w:pPr>
              <w:spacing w:line="240" w:lineRule="auto"/>
              <w:rPr>
                <w:rFonts w:ascii="Lato" w:hAnsi="Lato"/>
                <w:szCs w:val="22"/>
                <w:lang w:val="en-IE"/>
              </w:rPr>
            </w:pPr>
            <w:r w:rsidRPr="001D39EA">
              <w:rPr>
                <w:rFonts w:ascii="Lato" w:hAnsi="Lato"/>
                <w:szCs w:val="22"/>
                <w:lang w:val="en-IE"/>
              </w:rPr>
              <w:t>3.12.4</w:t>
            </w:r>
          </w:p>
        </w:tc>
        <w:tc>
          <w:tcPr>
            <w:tcW w:w="9356" w:type="dxa"/>
            <w:gridSpan w:val="4"/>
            <w:tcBorders>
              <w:top w:val="nil"/>
              <w:left w:val="nil"/>
              <w:bottom w:val="nil"/>
              <w:right w:val="single" w:sz="4" w:space="0" w:color="auto"/>
            </w:tcBorders>
          </w:tcPr>
          <w:p w:rsidR="0062628E" w:rsidRPr="001D39EA" w:rsidRDefault="0062628E">
            <w:pPr>
              <w:spacing w:line="240" w:lineRule="auto"/>
              <w:jc w:val="both"/>
              <w:rPr>
                <w:rFonts w:ascii="Lato" w:hAnsi="Lato"/>
                <w:szCs w:val="22"/>
                <w:lang w:val="en-IE"/>
              </w:rPr>
            </w:pPr>
            <w:r w:rsidRPr="001D39EA">
              <w:rPr>
                <w:rFonts w:ascii="Lato" w:hAnsi="Lato"/>
                <w:szCs w:val="22"/>
                <w:lang w:val="en-IE"/>
              </w:rPr>
              <w:t xml:space="preserve">The assets of each sub-fund shall belong exclusively to the relevant sub-fund and shall not be used </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1D39EA" w:rsidRDefault="0062628E" w:rsidP="002473A6">
            <w:pPr>
              <w:spacing w:line="240" w:lineRule="auto"/>
              <w:rPr>
                <w:rFonts w:ascii="Lato" w:hAnsi="Lato"/>
                <w:szCs w:val="22"/>
                <w:lang w:val="en-IE"/>
              </w:rPr>
            </w:pPr>
          </w:p>
        </w:tc>
      </w:tr>
      <w:tr w:rsidR="0062628E" w:rsidRPr="00DC0539"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62628E" w:rsidRPr="001D39EA" w:rsidRDefault="0062628E" w:rsidP="0062628E">
            <w:pPr>
              <w:spacing w:line="240" w:lineRule="auto"/>
              <w:rPr>
                <w:rFonts w:ascii="Lato" w:hAnsi="Lato"/>
                <w:szCs w:val="22"/>
                <w:lang w:val="en-IE"/>
              </w:rPr>
            </w:pPr>
          </w:p>
        </w:tc>
        <w:tc>
          <w:tcPr>
            <w:tcW w:w="9356" w:type="dxa"/>
            <w:gridSpan w:val="4"/>
            <w:tcBorders>
              <w:top w:val="nil"/>
              <w:left w:val="nil"/>
              <w:bottom w:val="nil"/>
              <w:right w:val="nil"/>
            </w:tcBorders>
          </w:tcPr>
          <w:p w:rsidR="00ED31FB" w:rsidRPr="001D39EA" w:rsidRDefault="00250034" w:rsidP="0079646E">
            <w:pPr>
              <w:spacing w:line="240" w:lineRule="auto"/>
              <w:jc w:val="both"/>
              <w:rPr>
                <w:rFonts w:ascii="Lato" w:hAnsi="Lato"/>
                <w:szCs w:val="22"/>
                <w:lang w:val="en-IE"/>
              </w:rPr>
            </w:pPr>
            <w:r w:rsidRPr="00F72ED7">
              <w:rPr>
                <w:rFonts w:ascii="Lato" w:hAnsi="Lato"/>
                <w:szCs w:val="22"/>
                <w:lang w:val="en-IE"/>
              </w:rPr>
              <w:t xml:space="preserve">to </w:t>
            </w:r>
            <w:r w:rsidR="0062628E" w:rsidRPr="001D39EA">
              <w:rPr>
                <w:rFonts w:ascii="Lato" w:hAnsi="Lato"/>
                <w:szCs w:val="22"/>
                <w:lang w:val="en-IE"/>
              </w:rPr>
              <w:t>discharge directly or indirectly the liabilities of or claims against any other sub-fund and shall not be available for any such purpose</w:t>
            </w:r>
            <w:r w:rsidR="00ED31FB" w:rsidRPr="001D39EA">
              <w:rPr>
                <w:rFonts w:ascii="Lato" w:hAnsi="Lato"/>
                <w:szCs w:val="22"/>
                <w:lang w:val="en-IE"/>
              </w:rPr>
              <w:t xml:space="preserve">.  </w:t>
            </w:r>
          </w:p>
        </w:tc>
        <w:tc>
          <w:tcPr>
            <w:tcW w:w="852" w:type="dxa"/>
            <w:gridSpan w:val="4"/>
            <w:tcBorders>
              <w:top w:val="single" w:sz="4" w:space="0" w:color="auto"/>
              <w:left w:val="nil"/>
              <w:bottom w:val="nil"/>
              <w:right w:val="nil"/>
            </w:tcBorders>
          </w:tcPr>
          <w:p w:rsidR="0062628E" w:rsidRPr="001D39EA" w:rsidRDefault="0062628E" w:rsidP="002473A6">
            <w:pPr>
              <w:spacing w:line="240" w:lineRule="auto"/>
              <w:rPr>
                <w:rFonts w:ascii="Lato" w:hAnsi="Lato"/>
                <w:szCs w:val="22"/>
                <w:lang w:val="en-IE"/>
              </w:rPr>
            </w:pPr>
          </w:p>
        </w:tc>
      </w:tr>
      <w:tr w:rsidR="00590C87" w:rsidRPr="00DC0539"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590C87" w:rsidRPr="001D39EA" w:rsidRDefault="00590C87" w:rsidP="0062628E">
            <w:pPr>
              <w:spacing w:line="240" w:lineRule="auto"/>
              <w:rPr>
                <w:rFonts w:ascii="Lato" w:hAnsi="Lato"/>
                <w:szCs w:val="22"/>
                <w:lang w:val="en-IE"/>
              </w:rPr>
            </w:pPr>
          </w:p>
        </w:tc>
        <w:tc>
          <w:tcPr>
            <w:tcW w:w="9356" w:type="dxa"/>
            <w:gridSpan w:val="4"/>
            <w:tcBorders>
              <w:top w:val="nil"/>
              <w:left w:val="nil"/>
              <w:bottom w:val="nil"/>
              <w:right w:val="nil"/>
            </w:tcBorders>
          </w:tcPr>
          <w:p w:rsidR="00590C87" w:rsidRPr="001D39EA" w:rsidRDefault="00590C87" w:rsidP="0079646E">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590C87" w:rsidRPr="001D39EA" w:rsidRDefault="00590C87" w:rsidP="002473A6">
            <w:pPr>
              <w:spacing w:line="240" w:lineRule="auto"/>
              <w:rPr>
                <w:rFonts w:ascii="Lato" w:hAnsi="Lato"/>
                <w:szCs w:val="22"/>
                <w:lang w:val="en-IE"/>
              </w:rPr>
            </w:pPr>
          </w:p>
        </w:tc>
      </w:tr>
      <w:tr w:rsidR="008F6559" w:rsidRPr="00DC0539"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8F6559" w:rsidRPr="001D39EA" w:rsidRDefault="00590C87" w:rsidP="0062628E">
            <w:pPr>
              <w:spacing w:line="240" w:lineRule="auto"/>
              <w:rPr>
                <w:rFonts w:ascii="Lato" w:hAnsi="Lato"/>
                <w:szCs w:val="22"/>
                <w:lang w:val="en-IE"/>
              </w:rPr>
            </w:pPr>
            <w:r w:rsidRPr="001D39EA">
              <w:rPr>
                <w:rFonts w:ascii="Lato" w:hAnsi="Lato"/>
                <w:szCs w:val="22"/>
                <w:lang w:val="en-IE"/>
              </w:rPr>
              <w:t>3.12.5</w:t>
            </w:r>
          </w:p>
        </w:tc>
        <w:tc>
          <w:tcPr>
            <w:tcW w:w="9356" w:type="dxa"/>
            <w:gridSpan w:val="4"/>
            <w:tcBorders>
              <w:top w:val="nil"/>
              <w:left w:val="nil"/>
              <w:bottom w:val="nil"/>
              <w:right w:val="single" w:sz="4" w:space="0" w:color="auto"/>
            </w:tcBorders>
          </w:tcPr>
          <w:p w:rsidR="008F6559" w:rsidRPr="001D39EA" w:rsidDel="008F6559" w:rsidRDefault="008F6559" w:rsidP="0079646E">
            <w:pPr>
              <w:spacing w:line="240" w:lineRule="auto"/>
              <w:jc w:val="both"/>
              <w:rPr>
                <w:rFonts w:ascii="Lato" w:hAnsi="Lato"/>
                <w:szCs w:val="22"/>
                <w:lang w:val="en-IE"/>
              </w:rPr>
            </w:pPr>
            <w:r w:rsidRPr="001D39EA">
              <w:rPr>
                <w:rFonts w:ascii="Lato" w:hAnsi="Lato"/>
                <w:szCs w:val="22"/>
                <w:lang w:val="en-IE"/>
              </w:rPr>
              <w:t>Any liability incurred on behalf of or attributable to any sub-fund shall be</w:t>
            </w:r>
          </w:p>
        </w:tc>
        <w:tc>
          <w:tcPr>
            <w:tcW w:w="852" w:type="dxa"/>
            <w:gridSpan w:val="4"/>
            <w:tcBorders>
              <w:top w:val="single" w:sz="4" w:space="0" w:color="auto"/>
              <w:left w:val="single" w:sz="4" w:space="0" w:color="auto"/>
              <w:bottom w:val="single" w:sz="4" w:space="0" w:color="auto"/>
              <w:right w:val="single" w:sz="4" w:space="0" w:color="auto"/>
            </w:tcBorders>
          </w:tcPr>
          <w:p w:rsidR="008F6559" w:rsidRPr="001D39EA" w:rsidRDefault="008F6559" w:rsidP="002473A6">
            <w:pPr>
              <w:spacing w:line="240" w:lineRule="auto"/>
              <w:rPr>
                <w:rFonts w:ascii="Lato" w:hAnsi="Lato"/>
                <w:szCs w:val="22"/>
                <w:lang w:val="en-IE"/>
              </w:rPr>
            </w:pPr>
          </w:p>
        </w:tc>
      </w:tr>
      <w:tr w:rsidR="008F6559"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nil"/>
              <w:left w:val="nil"/>
              <w:bottom w:val="nil"/>
              <w:right w:val="nil"/>
            </w:tcBorders>
          </w:tcPr>
          <w:p w:rsidR="008F6559" w:rsidRPr="001D39EA" w:rsidRDefault="008F6559" w:rsidP="0062628E">
            <w:pPr>
              <w:spacing w:line="240" w:lineRule="auto"/>
              <w:rPr>
                <w:rFonts w:ascii="Lato" w:hAnsi="Lato"/>
                <w:szCs w:val="22"/>
                <w:lang w:val="en-IE"/>
              </w:rPr>
            </w:pPr>
          </w:p>
        </w:tc>
        <w:tc>
          <w:tcPr>
            <w:tcW w:w="9356" w:type="dxa"/>
            <w:gridSpan w:val="4"/>
            <w:tcBorders>
              <w:top w:val="nil"/>
              <w:left w:val="nil"/>
              <w:bottom w:val="nil"/>
              <w:right w:val="nil"/>
            </w:tcBorders>
          </w:tcPr>
          <w:p w:rsidR="008F6559" w:rsidRPr="001D39EA" w:rsidDel="008F6559" w:rsidRDefault="008F6559" w:rsidP="008F6559">
            <w:pPr>
              <w:spacing w:line="240" w:lineRule="auto"/>
              <w:jc w:val="both"/>
              <w:rPr>
                <w:rFonts w:ascii="Lato" w:hAnsi="Lato"/>
                <w:szCs w:val="22"/>
                <w:lang w:val="en-IE"/>
              </w:rPr>
            </w:pPr>
            <w:r w:rsidRPr="001D39EA">
              <w:rPr>
                <w:rFonts w:ascii="Lato" w:hAnsi="Lato"/>
                <w:szCs w:val="22"/>
                <w:lang w:val="en-IE"/>
              </w:rPr>
              <w:t xml:space="preserve">discharged solely out of the assets of that sub-fund. </w:t>
            </w:r>
          </w:p>
        </w:tc>
        <w:tc>
          <w:tcPr>
            <w:tcW w:w="852" w:type="dxa"/>
            <w:gridSpan w:val="4"/>
            <w:tcBorders>
              <w:top w:val="single" w:sz="4" w:space="0" w:color="auto"/>
              <w:left w:val="nil"/>
              <w:bottom w:val="nil"/>
              <w:right w:val="nil"/>
            </w:tcBorders>
          </w:tcPr>
          <w:p w:rsidR="008F6559" w:rsidRPr="001D39EA" w:rsidRDefault="008F6559" w:rsidP="002473A6">
            <w:pPr>
              <w:spacing w:line="240" w:lineRule="auto"/>
              <w:rPr>
                <w:rFonts w:ascii="Lato" w:hAnsi="Lato"/>
                <w:szCs w:val="22"/>
                <w:lang w:val="en-IE"/>
              </w:rPr>
            </w:pPr>
          </w:p>
        </w:tc>
      </w:tr>
      <w:tr w:rsidR="0062628E" w:rsidRPr="00DC0539"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62628E" w:rsidRPr="001D39EA" w:rsidRDefault="0062628E">
            <w:pPr>
              <w:spacing w:line="240" w:lineRule="auto"/>
              <w:rPr>
                <w:rFonts w:ascii="Lato" w:hAnsi="Lato"/>
                <w:szCs w:val="22"/>
                <w:lang w:val="en-IE"/>
              </w:rPr>
            </w:pPr>
          </w:p>
        </w:tc>
        <w:tc>
          <w:tcPr>
            <w:tcW w:w="8309" w:type="dxa"/>
            <w:tcBorders>
              <w:top w:val="nil"/>
              <w:left w:val="nil"/>
              <w:bottom w:val="nil"/>
              <w:right w:val="nil"/>
            </w:tcBorders>
          </w:tcPr>
          <w:p w:rsidR="0062628E" w:rsidRPr="001D39EA" w:rsidRDefault="0062628E">
            <w:pPr>
              <w:spacing w:line="240" w:lineRule="auto"/>
              <w:jc w:val="both"/>
              <w:rPr>
                <w:rFonts w:ascii="Lato" w:hAnsi="Lato"/>
                <w:szCs w:val="22"/>
                <w:lang w:val="en-IE"/>
              </w:rPr>
            </w:pPr>
          </w:p>
        </w:tc>
        <w:tc>
          <w:tcPr>
            <w:tcW w:w="1283" w:type="dxa"/>
            <w:gridSpan w:val="4"/>
            <w:tcBorders>
              <w:top w:val="nil"/>
              <w:left w:val="nil"/>
              <w:bottom w:val="nil"/>
              <w:right w:val="nil"/>
            </w:tcBorders>
          </w:tcPr>
          <w:p w:rsidR="0062628E" w:rsidRPr="001D39EA" w:rsidRDefault="0062628E">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rsidP="00590C87">
            <w:pPr>
              <w:spacing w:line="240" w:lineRule="auto"/>
              <w:rPr>
                <w:rFonts w:ascii="Lato" w:hAnsi="Lato"/>
                <w:szCs w:val="22"/>
                <w:lang w:val="en-IE"/>
              </w:rPr>
            </w:pPr>
            <w:r w:rsidRPr="001D39EA">
              <w:rPr>
                <w:rFonts w:ascii="Lato" w:hAnsi="Lato"/>
                <w:szCs w:val="22"/>
                <w:lang w:val="en-IE"/>
              </w:rPr>
              <w:t>3.12.</w:t>
            </w:r>
            <w:r w:rsidR="00590C87" w:rsidRPr="001D39EA">
              <w:rPr>
                <w:rFonts w:ascii="Lato" w:hAnsi="Lato"/>
                <w:szCs w:val="22"/>
                <w:lang w:val="en-IE"/>
              </w:rPr>
              <w:t>6</w:t>
            </w:r>
          </w:p>
        </w:tc>
        <w:tc>
          <w:tcPr>
            <w:tcW w:w="8309" w:type="dxa"/>
            <w:tcBorders>
              <w:top w:val="nil"/>
              <w:left w:val="nil"/>
              <w:bottom w:val="nil"/>
              <w:right w:val="nil"/>
            </w:tcBorders>
          </w:tcPr>
          <w:p w:rsidR="005871B8" w:rsidRPr="001D39EA" w:rsidRDefault="005871B8">
            <w:pPr>
              <w:spacing w:line="240" w:lineRule="auto"/>
              <w:jc w:val="both"/>
              <w:rPr>
                <w:rFonts w:ascii="Lato" w:hAnsi="Lato"/>
                <w:szCs w:val="22"/>
                <w:lang w:val="en-IE"/>
              </w:rPr>
            </w:pPr>
            <w:r w:rsidRPr="001D39EA">
              <w:rPr>
                <w:rFonts w:ascii="Lato" w:hAnsi="Lato"/>
                <w:szCs w:val="22"/>
                <w:lang w:val="en-IE"/>
              </w:rPr>
              <w:t>In the case of an umbrella Qualifying Investor AIF with a combination of open ended</w:t>
            </w:r>
          </w:p>
        </w:tc>
        <w:tc>
          <w:tcPr>
            <w:tcW w:w="1283" w:type="dxa"/>
            <w:gridSpan w:val="4"/>
            <w:tcBorders>
              <w:top w:val="nil"/>
              <w:left w:val="nil"/>
              <w:bottom w:val="nil"/>
              <w:right w:val="nil"/>
            </w:tcBorders>
          </w:tcPr>
          <w:p w:rsidR="005871B8" w:rsidRPr="001D39EA" w:rsidRDefault="005871B8">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pPr>
              <w:spacing w:line="240" w:lineRule="auto"/>
              <w:rPr>
                <w:rFonts w:ascii="Lato" w:hAnsi="Lato"/>
                <w:szCs w:val="22"/>
                <w:lang w:val="en-IE"/>
              </w:rPr>
            </w:pPr>
          </w:p>
        </w:tc>
        <w:tc>
          <w:tcPr>
            <w:tcW w:w="8309" w:type="dxa"/>
            <w:tcBorders>
              <w:top w:val="nil"/>
              <w:left w:val="nil"/>
              <w:bottom w:val="nil"/>
              <w:right w:val="nil"/>
            </w:tcBorders>
          </w:tcPr>
          <w:p w:rsidR="005871B8" w:rsidRPr="001D39EA" w:rsidRDefault="005871B8">
            <w:pPr>
              <w:spacing w:line="240" w:lineRule="auto"/>
              <w:jc w:val="both"/>
              <w:rPr>
                <w:rFonts w:ascii="Lato" w:hAnsi="Lato"/>
                <w:szCs w:val="22"/>
                <w:lang w:val="en-IE"/>
              </w:rPr>
            </w:pPr>
            <w:r w:rsidRPr="001D39EA">
              <w:rPr>
                <w:rFonts w:ascii="Lato" w:hAnsi="Lato"/>
                <w:szCs w:val="22"/>
                <w:lang w:val="en-IE"/>
              </w:rPr>
              <w:t>open-ended with limited liquidity, or closed ended sub funds, provide</w:t>
            </w:r>
          </w:p>
        </w:tc>
        <w:tc>
          <w:tcPr>
            <w:tcW w:w="1283" w:type="dxa"/>
            <w:gridSpan w:val="4"/>
            <w:tcBorders>
              <w:top w:val="nil"/>
              <w:left w:val="nil"/>
              <w:bottom w:val="single" w:sz="4" w:space="0" w:color="auto"/>
              <w:right w:val="nil"/>
            </w:tcBorders>
          </w:tcPr>
          <w:p w:rsidR="005871B8" w:rsidRPr="001D39EA" w:rsidRDefault="005871B8">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rsidP="00447F13">
            <w:pPr>
              <w:spacing w:line="240" w:lineRule="auto"/>
              <w:jc w:val="right"/>
              <w:rPr>
                <w:rFonts w:ascii="Lato" w:hAnsi="Lato"/>
                <w:szCs w:val="22"/>
                <w:lang w:val="en-IE"/>
              </w:rPr>
            </w:pPr>
            <w:r w:rsidRPr="001D39EA">
              <w:rPr>
                <w:rFonts w:ascii="Lato" w:hAnsi="Lato"/>
                <w:szCs w:val="22"/>
                <w:lang w:val="en-IE"/>
              </w:rPr>
              <w:t>a)</w:t>
            </w:r>
          </w:p>
        </w:tc>
        <w:tc>
          <w:tcPr>
            <w:tcW w:w="8309" w:type="dxa"/>
            <w:tcBorders>
              <w:top w:val="nil"/>
              <w:left w:val="nil"/>
              <w:bottom w:val="nil"/>
              <w:right w:val="single" w:sz="4" w:space="0" w:color="auto"/>
            </w:tcBorders>
          </w:tcPr>
          <w:p w:rsidR="005871B8" w:rsidRPr="001D39EA" w:rsidRDefault="005871B8" w:rsidP="00872757">
            <w:pPr>
              <w:spacing w:line="240" w:lineRule="auto"/>
              <w:jc w:val="both"/>
              <w:rPr>
                <w:rFonts w:ascii="Lato" w:hAnsi="Lato"/>
                <w:szCs w:val="22"/>
                <w:lang w:val="en-IE"/>
              </w:rPr>
            </w:pPr>
            <w:r w:rsidRPr="001D39EA">
              <w:rPr>
                <w:rFonts w:ascii="Lato" w:hAnsi="Lato"/>
                <w:szCs w:val="22"/>
                <w:lang w:val="en-IE"/>
              </w:rPr>
              <w:t>for the right of shareholders to request redemption of their holdings by the</w:t>
            </w:r>
            <w:r w:rsidR="00872757" w:rsidRPr="001D39EA">
              <w:rPr>
                <w:rFonts w:ascii="Lato" w:hAnsi="Lato"/>
                <w:szCs w:val="22"/>
                <w:lang w:val="en-IE"/>
              </w:rPr>
              <w:t xml:space="preserve"> ICAV</w:t>
            </w:r>
          </w:p>
        </w:tc>
        <w:tc>
          <w:tcPr>
            <w:tcW w:w="1283" w:type="dxa"/>
            <w:gridSpan w:val="4"/>
            <w:tcBorders>
              <w:top w:val="single" w:sz="4" w:space="0" w:color="auto"/>
              <w:left w:val="single" w:sz="4" w:space="0" w:color="auto"/>
              <w:bottom w:val="single" w:sz="4" w:space="0" w:color="auto"/>
              <w:right w:val="single" w:sz="4" w:space="0" w:color="auto"/>
            </w:tcBorders>
          </w:tcPr>
          <w:p w:rsidR="005871B8" w:rsidRPr="001D39EA" w:rsidRDefault="005871B8">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rsidP="00447F13">
            <w:pPr>
              <w:spacing w:line="240" w:lineRule="auto"/>
              <w:jc w:val="right"/>
              <w:rPr>
                <w:rFonts w:ascii="Lato" w:hAnsi="Lato"/>
                <w:szCs w:val="22"/>
                <w:lang w:val="en-IE"/>
              </w:rPr>
            </w:pPr>
            <w:r w:rsidRPr="001D39EA">
              <w:rPr>
                <w:rFonts w:ascii="Lato" w:hAnsi="Lato"/>
                <w:szCs w:val="22"/>
                <w:lang w:val="en-IE"/>
              </w:rPr>
              <w:t>b)</w:t>
            </w:r>
          </w:p>
        </w:tc>
        <w:tc>
          <w:tcPr>
            <w:tcW w:w="8309" w:type="dxa"/>
            <w:tcBorders>
              <w:top w:val="nil"/>
              <w:left w:val="nil"/>
              <w:bottom w:val="nil"/>
              <w:right w:val="single" w:sz="4" w:space="0" w:color="auto"/>
            </w:tcBorders>
          </w:tcPr>
          <w:p w:rsidR="005871B8" w:rsidRPr="001D39EA" w:rsidRDefault="005871B8">
            <w:pPr>
              <w:spacing w:line="240" w:lineRule="auto"/>
              <w:jc w:val="both"/>
              <w:rPr>
                <w:rFonts w:ascii="Lato" w:hAnsi="Lato"/>
                <w:szCs w:val="22"/>
                <w:lang w:val="en-IE"/>
              </w:rPr>
            </w:pPr>
            <w:r w:rsidRPr="001D39EA">
              <w:rPr>
                <w:rFonts w:ascii="Lato" w:hAnsi="Lato"/>
                <w:szCs w:val="22"/>
                <w:lang w:val="en-IE"/>
              </w:rPr>
              <w:t>that notwithstanding this right, certain sub-funds may be established with no right of</w:t>
            </w:r>
          </w:p>
        </w:tc>
        <w:tc>
          <w:tcPr>
            <w:tcW w:w="1283" w:type="dxa"/>
            <w:gridSpan w:val="4"/>
            <w:tcBorders>
              <w:top w:val="single" w:sz="4" w:space="0" w:color="auto"/>
              <w:left w:val="single" w:sz="4" w:space="0" w:color="auto"/>
              <w:bottom w:val="single" w:sz="4" w:space="0" w:color="auto"/>
              <w:right w:val="single" w:sz="4" w:space="0" w:color="auto"/>
            </w:tcBorders>
          </w:tcPr>
          <w:p w:rsidR="005871B8" w:rsidRPr="001D39EA" w:rsidRDefault="005871B8">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rsidP="00447F13">
            <w:pPr>
              <w:spacing w:line="240" w:lineRule="auto"/>
              <w:jc w:val="right"/>
              <w:rPr>
                <w:rFonts w:ascii="Lato" w:hAnsi="Lato"/>
                <w:szCs w:val="22"/>
                <w:lang w:val="en-IE"/>
              </w:rPr>
            </w:pPr>
          </w:p>
        </w:tc>
        <w:tc>
          <w:tcPr>
            <w:tcW w:w="8309" w:type="dxa"/>
            <w:tcBorders>
              <w:top w:val="nil"/>
              <w:left w:val="nil"/>
              <w:bottom w:val="nil"/>
              <w:right w:val="nil"/>
            </w:tcBorders>
          </w:tcPr>
          <w:p w:rsidR="005871B8" w:rsidRPr="001D39EA" w:rsidRDefault="005871B8">
            <w:pPr>
              <w:spacing w:line="240" w:lineRule="auto"/>
              <w:jc w:val="both"/>
              <w:rPr>
                <w:rFonts w:ascii="Lato" w:hAnsi="Lato"/>
                <w:szCs w:val="22"/>
                <w:lang w:val="en-IE"/>
              </w:rPr>
            </w:pPr>
            <w:r w:rsidRPr="001D39EA">
              <w:rPr>
                <w:rFonts w:ascii="Lato" w:hAnsi="Lato"/>
                <w:szCs w:val="22"/>
                <w:lang w:val="en-IE"/>
              </w:rPr>
              <w:t>redemption, subject to any conditions set down by the Central Bank</w:t>
            </w:r>
          </w:p>
        </w:tc>
        <w:tc>
          <w:tcPr>
            <w:tcW w:w="1283" w:type="dxa"/>
            <w:gridSpan w:val="4"/>
            <w:tcBorders>
              <w:top w:val="single" w:sz="4" w:space="0" w:color="auto"/>
              <w:left w:val="nil"/>
              <w:bottom w:val="nil"/>
              <w:right w:val="nil"/>
            </w:tcBorders>
          </w:tcPr>
          <w:p w:rsidR="005871B8" w:rsidRPr="001D39EA" w:rsidRDefault="005871B8">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rsidP="00447F13">
            <w:pPr>
              <w:spacing w:line="240" w:lineRule="auto"/>
              <w:jc w:val="right"/>
              <w:rPr>
                <w:rFonts w:ascii="Lato" w:hAnsi="Lato"/>
                <w:szCs w:val="22"/>
                <w:lang w:val="en-IE"/>
              </w:rPr>
            </w:pPr>
          </w:p>
        </w:tc>
        <w:tc>
          <w:tcPr>
            <w:tcW w:w="8309" w:type="dxa"/>
            <w:tcBorders>
              <w:top w:val="nil"/>
              <w:left w:val="nil"/>
              <w:bottom w:val="nil"/>
              <w:right w:val="nil"/>
            </w:tcBorders>
          </w:tcPr>
          <w:p w:rsidR="005871B8" w:rsidRPr="001D39EA" w:rsidRDefault="005871B8">
            <w:pPr>
              <w:spacing w:line="240" w:lineRule="auto"/>
              <w:jc w:val="both"/>
              <w:rPr>
                <w:rFonts w:ascii="Lato" w:hAnsi="Lato"/>
                <w:szCs w:val="22"/>
                <w:lang w:val="en-IE"/>
              </w:rPr>
            </w:pPr>
          </w:p>
        </w:tc>
        <w:tc>
          <w:tcPr>
            <w:tcW w:w="1283" w:type="dxa"/>
            <w:gridSpan w:val="4"/>
            <w:tcBorders>
              <w:top w:val="nil"/>
              <w:left w:val="nil"/>
              <w:bottom w:val="single" w:sz="4" w:space="0" w:color="auto"/>
              <w:right w:val="nil"/>
            </w:tcBorders>
          </w:tcPr>
          <w:p w:rsidR="005871B8" w:rsidRPr="001D39EA" w:rsidRDefault="005871B8">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rsidP="00590C87">
            <w:pPr>
              <w:spacing w:line="240" w:lineRule="auto"/>
              <w:rPr>
                <w:rFonts w:ascii="Lato" w:hAnsi="Lato"/>
                <w:szCs w:val="22"/>
                <w:lang w:val="en-IE"/>
              </w:rPr>
            </w:pPr>
            <w:r w:rsidRPr="001D39EA">
              <w:rPr>
                <w:rFonts w:ascii="Lato" w:hAnsi="Lato"/>
                <w:szCs w:val="22"/>
                <w:lang w:val="en-IE"/>
              </w:rPr>
              <w:t>3.12.</w:t>
            </w:r>
            <w:r w:rsidR="00590C87" w:rsidRPr="001D39EA">
              <w:rPr>
                <w:rFonts w:ascii="Lato" w:hAnsi="Lato"/>
                <w:szCs w:val="22"/>
                <w:lang w:val="en-IE"/>
              </w:rPr>
              <w:t>7</w:t>
            </w:r>
          </w:p>
        </w:tc>
        <w:tc>
          <w:tcPr>
            <w:tcW w:w="8309" w:type="dxa"/>
            <w:tcBorders>
              <w:top w:val="nil"/>
              <w:left w:val="nil"/>
              <w:bottom w:val="nil"/>
              <w:right w:val="single" w:sz="4" w:space="0" w:color="auto"/>
            </w:tcBorders>
          </w:tcPr>
          <w:p w:rsidR="005871B8" w:rsidRPr="001D39EA" w:rsidRDefault="005871B8">
            <w:pPr>
              <w:spacing w:line="240" w:lineRule="auto"/>
              <w:jc w:val="both"/>
              <w:rPr>
                <w:rFonts w:ascii="Lato" w:hAnsi="Lato"/>
                <w:szCs w:val="22"/>
                <w:lang w:val="en-IE"/>
              </w:rPr>
            </w:pPr>
            <w:r w:rsidRPr="001D39EA">
              <w:rPr>
                <w:rFonts w:ascii="Lato" w:hAnsi="Lato"/>
                <w:szCs w:val="22"/>
              </w:rPr>
              <w:t>Provide, where relevant the procedures in relation to switching</w:t>
            </w:r>
          </w:p>
        </w:tc>
        <w:tc>
          <w:tcPr>
            <w:tcW w:w="1283" w:type="dxa"/>
            <w:gridSpan w:val="4"/>
            <w:tcBorders>
              <w:top w:val="single" w:sz="4" w:space="0" w:color="auto"/>
              <w:left w:val="single" w:sz="4" w:space="0" w:color="auto"/>
              <w:bottom w:val="single" w:sz="4" w:space="0" w:color="auto"/>
              <w:right w:val="single" w:sz="4" w:space="0" w:color="auto"/>
            </w:tcBorders>
          </w:tcPr>
          <w:p w:rsidR="005871B8" w:rsidRPr="001D39EA" w:rsidRDefault="005871B8">
            <w:pPr>
              <w:spacing w:line="240" w:lineRule="auto"/>
              <w:rPr>
                <w:rFonts w:ascii="Lato" w:hAnsi="Lato"/>
                <w:szCs w:val="22"/>
                <w:lang w:val="en-IE"/>
              </w:rPr>
            </w:pPr>
          </w:p>
        </w:tc>
      </w:tr>
      <w:tr w:rsidR="005871B8"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1"/>
        </w:trPr>
        <w:tc>
          <w:tcPr>
            <w:tcW w:w="986" w:type="dxa"/>
            <w:gridSpan w:val="3"/>
            <w:tcBorders>
              <w:top w:val="nil"/>
              <w:left w:val="nil"/>
              <w:bottom w:val="nil"/>
              <w:right w:val="nil"/>
            </w:tcBorders>
          </w:tcPr>
          <w:p w:rsidR="005871B8" w:rsidRPr="001D39EA" w:rsidRDefault="005871B8" w:rsidP="00447F13">
            <w:pPr>
              <w:spacing w:line="240" w:lineRule="auto"/>
              <w:jc w:val="right"/>
              <w:rPr>
                <w:rFonts w:ascii="Lato" w:hAnsi="Lato"/>
                <w:szCs w:val="22"/>
                <w:lang w:val="en-IE"/>
              </w:rPr>
            </w:pPr>
          </w:p>
        </w:tc>
        <w:tc>
          <w:tcPr>
            <w:tcW w:w="8309" w:type="dxa"/>
            <w:tcBorders>
              <w:top w:val="nil"/>
              <w:left w:val="nil"/>
              <w:bottom w:val="nil"/>
              <w:right w:val="nil"/>
            </w:tcBorders>
          </w:tcPr>
          <w:p w:rsidR="005871B8" w:rsidRPr="001D39EA" w:rsidRDefault="005871B8">
            <w:pPr>
              <w:spacing w:line="240" w:lineRule="auto"/>
              <w:jc w:val="both"/>
              <w:rPr>
                <w:rFonts w:ascii="Lato" w:hAnsi="Lato"/>
                <w:szCs w:val="22"/>
              </w:rPr>
            </w:pPr>
          </w:p>
        </w:tc>
        <w:tc>
          <w:tcPr>
            <w:tcW w:w="1283" w:type="dxa"/>
            <w:gridSpan w:val="4"/>
            <w:tcBorders>
              <w:top w:val="single" w:sz="4" w:space="0" w:color="auto"/>
              <w:left w:val="nil"/>
              <w:bottom w:val="nil"/>
              <w:right w:val="nil"/>
            </w:tcBorders>
          </w:tcPr>
          <w:p w:rsidR="005871B8" w:rsidRPr="001D39EA" w:rsidRDefault="005871B8">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single" w:sz="4" w:space="0" w:color="auto"/>
            </w:tcBorders>
          </w:tcPr>
          <w:p w:rsidR="005871B8" w:rsidRPr="001D39EA" w:rsidRDefault="005871B8" w:rsidP="00DF03AC">
            <w:pPr>
              <w:spacing w:line="240" w:lineRule="auto"/>
              <w:rPr>
                <w:rFonts w:ascii="Lato" w:hAnsi="Lato"/>
                <w:b/>
                <w:bCs/>
                <w:szCs w:val="22"/>
                <w:lang w:val="en-IE"/>
              </w:rPr>
            </w:pPr>
            <w:r w:rsidRPr="001D39EA">
              <w:rPr>
                <w:rFonts w:ascii="Lato" w:hAnsi="Lato"/>
                <w:b/>
                <w:bCs/>
                <w:szCs w:val="22"/>
                <w:lang w:val="en-IE"/>
              </w:rPr>
              <w:t>3.13</w:t>
            </w:r>
          </w:p>
        </w:tc>
        <w:tc>
          <w:tcPr>
            <w:tcW w:w="8333" w:type="dxa"/>
            <w:gridSpan w:val="2"/>
            <w:tcBorders>
              <w:top w:val="single" w:sz="4" w:space="0" w:color="auto"/>
              <w:left w:val="single" w:sz="4" w:space="0" w:color="auto"/>
              <w:bottom w:val="single" w:sz="4" w:space="0" w:color="auto"/>
              <w:right w:val="single" w:sz="4" w:space="0" w:color="auto"/>
            </w:tcBorders>
          </w:tcPr>
          <w:p w:rsidR="005871B8" w:rsidRPr="001D39EA" w:rsidRDefault="005871B8" w:rsidP="00A8518D">
            <w:pPr>
              <w:pStyle w:val="Heading6"/>
              <w:jc w:val="both"/>
              <w:rPr>
                <w:rFonts w:ascii="Lato" w:hAnsi="Lato"/>
                <w:sz w:val="22"/>
                <w:szCs w:val="22"/>
                <w:lang w:val="en-IE"/>
              </w:rPr>
            </w:pPr>
            <w:r w:rsidRPr="001D39EA">
              <w:rPr>
                <w:rFonts w:ascii="Lato" w:hAnsi="Lato"/>
                <w:sz w:val="22"/>
                <w:szCs w:val="22"/>
                <w:lang w:val="en-IE"/>
              </w:rPr>
              <w:t>Subsidiaries</w:t>
            </w:r>
          </w:p>
        </w:tc>
        <w:tc>
          <w:tcPr>
            <w:tcW w:w="1259" w:type="dxa"/>
            <w:gridSpan w:val="3"/>
            <w:tcBorders>
              <w:top w:val="nil"/>
              <w:left w:val="single" w:sz="4" w:space="0" w:color="auto"/>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single" w:sz="4" w:space="0" w:color="auto"/>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3.13.1</w:t>
            </w:r>
          </w:p>
        </w:tc>
        <w:tc>
          <w:tcPr>
            <w:tcW w:w="8333" w:type="dxa"/>
            <w:gridSpan w:val="2"/>
            <w:tcBorders>
              <w:top w:val="nil"/>
              <w:left w:val="nil"/>
              <w:bottom w:val="nil"/>
              <w:right w:val="single" w:sz="4" w:space="0" w:color="auto"/>
            </w:tcBorders>
          </w:tcPr>
          <w:p w:rsidR="005871B8" w:rsidRPr="001D39EA" w:rsidRDefault="005871B8">
            <w:pPr>
              <w:spacing w:line="240" w:lineRule="auto"/>
              <w:jc w:val="both"/>
              <w:rPr>
                <w:rFonts w:ascii="Lato" w:hAnsi="Lato"/>
                <w:szCs w:val="22"/>
                <w:lang w:val="en-IE"/>
              </w:rPr>
            </w:pPr>
            <w:r w:rsidRPr="001D39EA">
              <w:rPr>
                <w:rFonts w:ascii="Lato" w:hAnsi="Lato"/>
                <w:szCs w:val="22"/>
                <w:lang w:val="en-IE"/>
              </w:rPr>
              <w:t xml:space="preserve">Provide, where relevant, for the power to establish wholly owned subsidiary(ies) with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E1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250034" w:rsidP="00E13F28">
            <w:pPr>
              <w:spacing w:line="240" w:lineRule="auto"/>
              <w:jc w:val="both"/>
              <w:rPr>
                <w:rFonts w:ascii="Lato" w:hAnsi="Lato"/>
                <w:szCs w:val="22"/>
                <w:lang w:val="en-IE"/>
              </w:rPr>
            </w:pPr>
            <w:r w:rsidRPr="00F72ED7">
              <w:rPr>
                <w:rFonts w:ascii="Lato" w:hAnsi="Lato"/>
                <w:szCs w:val="22"/>
                <w:lang w:val="en-IE"/>
              </w:rPr>
              <w:t>the</w:t>
            </w:r>
            <w:r w:rsidRPr="00DC0539">
              <w:rPr>
                <w:rFonts w:ascii="Lato" w:hAnsi="Lato"/>
                <w:szCs w:val="22"/>
                <w:lang w:val="en-IE"/>
              </w:rPr>
              <w:t xml:space="preserve"> </w:t>
            </w:r>
            <w:r w:rsidR="005871B8" w:rsidRPr="001D39EA">
              <w:rPr>
                <w:rFonts w:ascii="Lato" w:hAnsi="Lato"/>
                <w:szCs w:val="22"/>
                <w:lang w:val="en-IE"/>
              </w:rPr>
              <w:t>prior approval of the Central Bank</w:t>
            </w: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A75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single" w:sz="4" w:space="0" w:color="auto"/>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A75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single" w:sz="4" w:space="0" w:color="auto"/>
            </w:tcBorders>
          </w:tcPr>
          <w:p w:rsidR="005871B8" w:rsidRPr="001D39EA" w:rsidRDefault="005871B8" w:rsidP="00DF03AC">
            <w:pPr>
              <w:spacing w:line="240" w:lineRule="auto"/>
              <w:rPr>
                <w:rFonts w:ascii="Lato" w:hAnsi="Lato"/>
                <w:b/>
                <w:bCs/>
                <w:szCs w:val="22"/>
                <w:lang w:val="en-IE"/>
              </w:rPr>
            </w:pPr>
            <w:r w:rsidRPr="001D39EA">
              <w:rPr>
                <w:rFonts w:ascii="Lato" w:hAnsi="Lato"/>
                <w:b/>
                <w:bCs/>
                <w:szCs w:val="22"/>
                <w:lang w:val="en-IE"/>
              </w:rPr>
              <w:t>3.14</w:t>
            </w:r>
          </w:p>
        </w:tc>
        <w:tc>
          <w:tcPr>
            <w:tcW w:w="8333" w:type="dxa"/>
            <w:gridSpan w:val="2"/>
            <w:tcBorders>
              <w:top w:val="single" w:sz="4" w:space="0" w:color="auto"/>
              <w:left w:val="single" w:sz="4" w:space="0" w:color="auto"/>
              <w:bottom w:val="single" w:sz="4" w:space="0" w:color="auto"/>
              <w:right w:val="single" w:sz="4" w:space="0" w:color="auto"/>
            </w:tcBorders>
          </w:tcPr>
          <w:p w:rsidR="005871B8" w:rsidRPr="001D39EA" w:rsidRDefault="005871B8" w:rsidP="00A8518D">
            <w:pPr>
              <w:pStyle w:val="Heading6"/>
              <w:jc w:val="both"/>
              <w:rPr>
                <w:rFonts w:ascii="Lato" w:hAnsi="Lato"/>
                <w:sz w:val="22"/>
                <w:szCs w:val="22"/>
                <w:lang w:val="en-IE"/>
              </w:rPr>
            </w:pPr>
            <w:r w:rsidRPr="001D39EA">
              <w:rPr>
                <w:rFonts w:ascii="Lato" w:hAnsi="Lato"/>
                <w:sz w:val="22"/>
                <w:szCs w:val="22"/>
                <w:lang w:val="en-IE"/>
              </w:rPr>
              <w:t>Share Classes</w:t>
            </w:r>
          </w:p>
        </w:tc>
        <w:tc>
          <w:tcPr>
            <w:tcW w:w="1259" w:type="dxa"/>
            <w:gridSpan w:val="3"/>
            <w:tcBorders>
              <w:top w:val="nil"/>
              <w:left w:val="single" w:sz="4" w:space="0" w:color="auto"/>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single" w:sz="4" w:space="0" w:color="auto"/>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r w:rsidRPr="001D39EA">
              <w:rPr>
                <w:rFonts w:ascii="Lato" w:hAnsi="Lato"/>
                <w:szCs w:val="22"/>
                <w:lang w:val="en-IE"/>
              </w:rPr>
              <w:t>Yes/No</w:t>
            </w: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3.14.1</w:t>
            </w:r>
          </w:p>
        </w:tc>
        <w:tc>
          <w:tcPr>
            <w:tcW w:w="8333" w:type="dxa"/>
            <w:gridSpan w:val="2"/>
            <w:tcBorders>
              <w:top w:val="nil"/>
              <w:left w:val="nil"/>
              <w:bottom w:val="nil"/>
              <w:right w:val="single" w:sz="4" w:space="0" w:color="auto"/>
            </w:tcBorders>
          </w:tcPr>
          <w:p w:rsidR="005871B8" w:rsidRPr="001D39EA" w:rsidRDefault="00ED31FB" w:rsidP="00ED31FB">
            <w:pPr>
              <w:spacing w:line="240" w:lineRule="auto"/>
              <w:jc w:val="both"/>
              <w:rPr>
                <w:rFonts w:ascii="Lato" w:hAnsi="Lato"/>
                <w:szCs w:val="22"/>
                <w:lang w:val="en-IE"/>
              </w:rPr>
            </w:pPr>
            <w:r w:rsidRPr="001D39EA">
              <w:rPr>
                <w:rFonts w:ascii="Lato" w:hAnsi="Lato"/>
                <w:szCs w:val="22"/>
                <w:lang w:val="en-IE"/>
              </w:rPr>
              <w:t>Does the Instrument of Incorporation</w:t>
            </w:r>
            <w:r w:rsidR="008F6559" w:rsidRPr="001D39EA">
              <w:rPr>
                <w:rFonts w:ascii="Lato" w:hAnsi="Lato"/>
                <w:szCs w:val="22"/>
                <w:lang w:val="en-IE"/>
              </w:rPr>
              <w:t xml:space="preserve"> </w:t>
            </w:r>
            <w:r w:rsidR="005871B8" w:rsidRPr="001D39EA">
              <w:rPr>
                <w:rFonts w:ascii="Lato" w:hAnsi="Lato"/>
                <w:szCs w:val="22"/>
                <w:lang w:val="en-IE"/>
              </w:rPr>
              <w:t xml:space="preserve">provide for the creation of share classes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r w:rsidRPr="001D39EA">
              <w:rPr>
                <w:rFonts w:ascii="Lato" w:hAnsi="Lato"/>
                <w:szCs w:val="22"/>
                <w:lang w:val="en-IE"/>
              </w:rPr>
              <w:t>If yes</w:t>
            </w: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5"/>
        </w:trPr>
        <w:tc>
          <w:tcPr>
            <w:tcW w:w="986" w:type="dxa"/>
            <w:gridSpan w:val="3"/>
            <w:vMerge w:val="restart"/>
            <w:tcBorders>
              <w:top w:val="nil"/>
              <w:left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3.14.2</w:t>
            </w:r>
          </w:p>
        </w:tc>
        <w:tc>
          <w:tcPr>
            <w:tcW w:w="8333" w:type="dxa"/>
            <w:gridSpan w:val="2"/>
            <w:vMerge w:val="restart"/>
            <w:tcBorders>
              <w:top w:val="nil"/>
              <w:left w:val="nil"/>
              <w:right w:val="single" w:sz="4" w:space="0" w:color="auto"/>
            </w:tcBorders>
          </w:tcPr>
          <w:p w:rsidR="005871B8" w:rsidRPr="001D39EA" w:rsidRDefault="005871B8" w:rsidP="00872757">
            <w:pPr>
              <w:spacing w:line="240" w:lineRule="auto"/>
              <w:jc w:val="both"/>
              <w:rPr>
                <w:rFonts w:ascii="Lato" w:hAnsi="Lato"/>
                <w:szCs w:val="22"/>
                <w:lang w:val="en-IE"/>
              </w:rPr>
            </w:pPr>
            <w:r w:rsidRPr="001D39EA">
              <w:rPr>
                <w:rFonts w:ascii="Lato" w:hAnsi="Lato"/>
                <w:szCs w:val="22"/>
                <w:lang w:val="en-IE"/>
              </w:rPr>
              <w:t xml:space="preserve">Where the </w:t>
            </w:r>
            <w:r w:rsidR="00872757" w:rsidRPr="001D39EA">
              <w:rPr>
                <w:rFonts w:ascii="Lato" w:hAnsi="Lato"/>
                <w:szCs w:val="22"/>
                <w:lang w:val="en-IE"/>
              </w:rPr>
              <w:t>ICAV</w:t>
            </w:r>
            <w:r w:rsidRPr="001D39EA">
              <w:rPr>
                <w:rFonts w:ascii="Lato" w:hAnsi="Lato"/>
                <w:szCs w:val="22"/>
                <w:lang w:val="en-IE"/>
              </w:rPr>
              <w:t xml:space="preserve"> is also an umbrella, confirm that the provisions for the creation of classes within sub-funds are clear and unambiguous</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vMerge/>
            <w:tcBorders>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vMerge/>
            <w:tcBorders>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3.14.3</w:t>
            </w:r>
          </w:p>
        </w:tc>
        <w:tc>
          <w:tcPr>
            <w:tcW w:w="8333" w:type="dxa"/>
            <w:gridSpan w:val="2"/>
            <w:tcBorders>
              <w:top w:val="nil"/>
              <w:left w:val="nil"/>
              <w:bottom w:val="nil"/>
              <w:right w:val="single" w:sz="4" w:space="0" w:color="auto"/>
            </w:tcBorders>
          </w:tcPr>
          <w:p w:rsidR="005871B8" w:rsidRPr="001D39EA" w:rsidRDefault="005871B8" w:rsidP="00A8518D">
            <w:pPr>
              <w:spacing w:line="240" w:lineRule="auto"/>
              <w:jc w:val="both"/>
              <w:rPr>
                <w:rFonts w:ascii="Lato" w:hAnsi="Lato"/>
                <w:szCs w:val="22"/>
                <w:lang w:val="en-IE"/>
              </w:rPr>
            </w:pPr>
            <w:r w:rsidRPr="001D39EA">
              <w:rPr>
                <w:rFonts w:ascii="Lato" w:hAnsi="Lato"/>
                <w:szCs w:val="22"/>
                <w:lang w:val="en-IE"/>
              </w:rPr>
              <w:t xml:space="preserve">Include unambiguous valuation and allocation provisions in relation to each class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3.14.4</w:t>
            </w: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r w:rsidRPr="001D39EA">
              <w:rPr>
                <w:rFonts w:ascii="Lato" w:hAnsi="Lato"/>
                <w:szCs w:val="22"/>
                <w:lang w:val="en-IE"/>
              </w:rPr>
              <w:t>Provide that the creation of further share classes must be:</w:t>
            </w: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jc w:val="right"/>
              <w:rPr>
                <w:rFonts w:ascii="Lato" w:hAnsi="Lato"/>
                <w:szCs w:val="22"/>
                <w:lang w:val="en-IE"/>
              </w:rPr>
            </w:pPr>
            <w:r w:rsidRPr="001D39EA">
              <w:rPr>
                <w:rFonts w:ascii="Lato" w:hAnsi="Lato"/>
                <w:szCs w:val="22"/>
                <w:lang w:val="en-IE"/>
              </w:rPr>
              <w:t>a)</w:t>
            </w:r>
          </w:p>
        </w:tc>
        <w:tc>
          <w:tcPr>
            <w:tcW w:w="8333" w:type="dxa"/>
            <w:gridSpan w:val="2"/>
            <w:tcBorders>
              <w:top w:val="nil"/>
              <w:left w:val="nil"/>
              <w:bottom w:val="nil"/>
              <w:right w:val="single" w:sz="4" w:space="0" w:color="auto"/>
            </w:tcBorders>
          </w:tcPr>
          <w:p w:rsidR="005871B8" w:rsidRPr="001D39EA" w:rsidRDefault="005871B8" w:rsidP="00FD02C7">
            <w:pPr>
              <w:spacing w:line="240" w:lineRule="auto"/>
              <w:jc w:val="both"/>
              <w:rPr>
                <w:rFonts w:ascii="Lato" w:hAnsi="Lato"/>
                <w:szCs w:val="22"/>
                <w:lang w:val="en-IE"/>
              </w:rPr>
            </w:pPr>
            <w:r w:rsidRPr="001D39EA">
              <w:rPr>
                <w:rFonts w:ascii="Lato" w:hAnsi="Lato"/>
                <w:szCs w:val="22"/>
                <w:lang w:val="en-IE"/>
              </w:rPr>
              <w:t xml:space="preserve">notified to the Central Bank in advance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r w:rsidRPr="001D39EA">
              <w:rPr>
                <w:rFonts w:ascii="Lato" w:hAnsi="Lato"/>
                <w:szCs w:val="22"/>
                <w:lang w:val="en-IE"/>
              </w:rPr>
              <w:t>or</w:t>
            </w:r>
          </w:p>
        </w:tc>
        <w:tc>
          <w:tcPr>
            <w:tcW w:w="1259" w:type="dxa"/>
            <w:gridSpan w:val="3"/>
            <w:tcBorders>
              <w:top w:val="single" w:sz="4" w:space="0" w:color="auto"/>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2E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jc w:val="right"/>
              <w:rPr>
                <w:rFonts w:ascii="Lato" w:hAnsi="Lato"/>
                <w:szCs w:val="22"/>
                <w:lang w:val="en-IE"/>
              </w:rPr>
            </w:pPr>
            <w:r w:rsidRPr="001D39EA">
              <w:rPr>
                <w:rFonts w:ascii="Lato" w:hAnsi="Lato"/>
                <w:szCs w:val="22"/>
                <w:lang w:val="en-IE"/>
              </w:rPr>
              <w:t>b)</w:t>
            </w:r>
          </w:p>
        </w:tc>
        <w:tc>
          <w:tcPr>
            <w:tcW w:w="8333" w:type="dxa"/>
            <w:gridSpan w:val="2"/>
            <w:tcBorders>
              <w:top w:val="nil"/>
              <w:left w:val="nil"/>
              <w:bottom w:val="nil"/>
              <w:right w:val="single" w:sz="4" w:space="0" w:color="auto"/>
            </w:tcBorders>
          </w:tcPr>
          <w:p w:rsidR="005871B8" w:rsidRPr="001D39EA" w:rsidRDefault="005871B8" w:rsidP="00A8518D">
            <w:pPr>
              <w:spacing w:line="240" w:lineRule="auto"/>
              <w:jc w:val="both"/>
              <w:rPr>
                <w:rFonts w:ascii="Lato" w:hAnsi="Lato"/>
                <w:szCs w:val="22"/>
                <w:lang w:val="en-IE"/>
              </w:rPr>
            </w:pPr>
            <w:r w:rsidRPr="001D39EA">
              <w:rPr>
                <w:rFonts w:ascii="Lato" w:hAnsi="Lato"/>
                <w:szCs w:val="22"/>
                <w:lang w:val="en-IE"/>
              </w:rPr>
              <w:t>must be effected in accordance with the requirements of the Central Bank</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6B6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single" w:sz="4" w:space="0" w:color="auto"/>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6B6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3.14.5</w:t>
            </w:r>
            <w:r w:rsidR="00590C87" w:rsidRPr="001D39EA">
              <w:rPr>
                <w:rFonts w:ascii="Lato" w:hAnsi="Lato"/>
                <w:szCs w:val="22"/>
                <w:lang w:val="en-IE"/>
              </w:rPr>
              <w:t>a)</w:t>
            </w:r>
          </w:p>
        </w:tc>
        <w:tc>
          <w:tcPr>
            <w:tcW w:w="8333" w:type="dxa"/>
            <w:gridSpan w:val="2"/>
            <w:tcBorders>
              <w:top w:val="nil"/>
              <w:left w:val="nil"/>
              <w:bottom w:val="nil"/>
              <w:right w:val="single" w:sz="4" w:space="0" w:color="auto"/>
            </w:tcBorders>
          </w:tcPr>
          <w:p w:rsidR="005871B8" w:rsidRPr="001D39EA" w:rsidRDefault="005871B8">
            <w:pPr>
              <w:spacing w:line="240" w:lineRule="auto"/>
              <w:jc w:val="both"/>
              <w:rPr>
                <w:rFonts w:ascii="Lato" w:hAnsi="Lato"/>
                <w:szCs w:val="22"/>
                <w:lang w:val="en-IE"/>
              </w:rPr>
            </w:pPr>
            <w:r w:rsidRPr="001D39EA">
              <w:rPr>
                <w:rFonts w:ascii="Lato" w:hAnsi="Lato"/>
                <w:szCs w:val="22"/>
              </w:rPr>
              <w:t xml:space="preserve">Disclose the provisions aimed at achieving segregation of liability between the share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6B6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250034" w:rsidP="00D16170">
            <w:pPr>
              <w:spacing w:line="240" w:lineRule="auto"/>
              <w:jc w:val="both"/>
              <w:rPr>
                <w:rFonts w:ascii="Lato" w:hAnsi="Lato"/>
                <w:szCs w:val="22"/>
              </w:rPr>
            </w:pPr>
            <w:r w:rsidRPr="00F72ED7">
              <w:rPr>
                <w:rFonts w:ascii="Lato" w:hAnsi="Lato"/>
                <w:szCs w:val="22"/>
              </w:rPr>
              <w:t>classes</w:t>
            </w:r>
            <w:r w:rsidRPr="00DC0539">
              <w:rPr>
                <w:rFonts w:ascii="Lato" w:hAnsi="Lato"/>
                <w:szCs w:val="22"/>
              </w:rPr>
              <w:t xml:space="preserve"> </w:t>
            </w:r>
            <w:r w:rsidR="005871B8" w:rsidRPr="001D39EA">
              <w:rPr>
                <w:rFonts w:ascii="Lato" w:hAnsi="Lato"/>
                <w:szCs w:val="22"/>
              </w:rPr>
              <w:t>participating in the common pool of assets of the Qualifying Investor AIF/sub-fund.</w:t>
            </w: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6B6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D16170">
            <w:pPr>
              <w:spacing w:line="240" w:lineRule="auto"/>
              <w:jc w:val="both"/>
              <w:rPr>
                <w:rFonts w:ascii="Lato" w:hAnsi="Lato"/>
                <w:szCs w:val="22"/>
              </w:rPr>
            </w:pPr>
            <w:r w:rsidRPr="001D39EA">
              <w:rPr>
                <w:rFonts w:ascii="Lato" w:hAnsi="Lato"/>
                <w:szCs w:val="22"/>
              </w:rPr>
              <w:t xml:space="preserve">and individual share classes that capital gains/losses and income arising from the </w:t>
            </w: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6B6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D16170">
            <w:pPr>
              <w:spacing w:line="240" w:lineRule="auto"/>
              <w:jc w:val="both"/>
              <w:rPr>
                <w:rFonts w:ascii="Lato" w:hAnsi="Lato"/>
                <w:szCs w:val="22"/>
              </w:rPr>
            </w:pPr>
            <w:r w:rsidRPr="001D39EA">
              <w:rPr>
                <w:rFonts w:ascii="Lato" w:hAnsi="Lato"/>
                <w:szCs w:val="22"/>
              </w:rPr>
              <w:t>assets must be distributed and/or accrued equally to each shareholder relative to their</w:t>
            </w: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1F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D16170">
            <w:pPr>
              <w:spacing w:line="240" w:lineRule="auto"/>
              <w:jc w:val="both"/>
              <w:rPr>
                <w:rFonts w:ascii="Lato" w:hAnsi="Lato"/>
                <w:szCs w:val="22"/>
              </w:rPr>
            </w:pPr>
            <w:r w:rsidRPr="001D39EA">
              <w:rPr>
                <w:rFonts w:ascii="Lato" w:hAnsi="Lato"/>
                <w:szCs w:val="22"/>
              </w:rPr>
              <w:t>participation in the relevant share class.</w:t>
            </w: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1F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1F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90C87" w:rsidP="00590C87">
            <w:pPr>
              <w:spacing w:line="240" w:lineRule="auto"/>
              <w:jc w:val="right"/>
              <w:rPr>
                <w:rFonts w:ascii="Lato" w:hAnsi="Lato"/>
                <w:szCs w:val="22"/>
                <w:lang w:val="en-IE"/>
              </w:rPr>
            </w:pPr>
            <w:r w:rsidRPr="001D39EA">
              <w:rPr>
                <w:rFonts w:ascii="Lato" w:hAnsi="Lato"/>
                <w:szCs w:val="22"/>
                <w:lang w:val="en-IE"/>
              </w:rPr>
              <w:t>b)</w:t>
            </w:r>
          </w:p>
        </w:tc>
        <w:tc>
          <w:tcPr>
            <w:tcW w:w="8333" w:type="dxa"/>
            <w:gridSpan w:val="2"/>
            <w:tcBorders>
              <w:top w:val="nil"/>
              <w:left w:val="nil"/>
              <w:bottom w:val="nil"/>
              <w:right w:val="single" w:sz="4" w:space="0" w:color="auto"/>
            </w:tcBorders>
          </w:tcPr>
          <w:p w:rsidR="005871B8" w:rsidRPr="001D39EA" w:rsidRDefault="005871B8">
            <w:pPr>
              <w:spacing w:line="240" w:lineRule="auto"/>
              <w:jc w:val="both"/>
              <w:rPr>
                <w:rFonts w:ascii="Lato" w:hAnsi="Lato"/>
                <w:szCs w:val="22"/>
              </w:rPr>
            </w:pPr>
            <w:r w:rsidRPr="001D39EA">
              <w:rPr>
                <w:rFonts w:ascii="Lato" w:hAnsi="Lato"/>
                <w:szCs w:val="22"/>
              </w:rPr>
              <w:t xml:space="preserve">Where it is not possible to ensure such segregation of liability, confirm this is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1F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250034" w:rsidP="00D16170">
            <w:pPr>
              <w:spacing w:line="240" w:lineRule="auto"/>
              <w:jc w:val="both"/>
              <w:rPr>
                <w:rFonts w:ascii="Lato" w:hAnsi="Lato"/>
                <w:szCs w:val="22"/>
              </w:rPr>
            </w:pPr>
            <w:r w:rsidRPr="00F72ED7">
              <w:rPr>
                <w:rFonts w:ascii="Lato" w:hAnsi="Lato"/>
                <w:szCs w:val="22"/>
              </w:rPr>
              <w:t>prominently</w:t>
            </w:r>
            <w:r w:rsidRPr="00DC0539">
              <w:rPr>
                <w:rFonts w:ascii="Lato" w:hAnsi="Lato"/>
                <w:szCs w:val="22"/>
              </w:rPr>
              <w:t xml:space="preserve"> </w:t>
            </w:r>
            <w:r w:rsidR="005871B8" w:rsidRPr="001D39EA">
              <w:rPr>
                <w:rFonts w:ascii="Lato" w:hAnsi="Lato"/>
                <w:szCs w:val="22"/>
              </w:rPr>
              <w:t>disclosed in the prospectus</w:t>
            </w: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1F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D16170">
            <w:pPr>
              <w:spacing w:line="240" w:lineRule="auto"/>
              <w:jc w:val="both"/>
              <w:rPr>
                <w:rFonts w:ascii="Lato" w:hAnsi="Lato"/>
                <w:szCs w:val="22"/>
              </w:rPr>
            </w:pP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1F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3.14.6</w:t>
            </w:r>
          </w:p>
        </w:tc>
        <w:tc>
          <w:tcPr>
            <w:tcW w:w="8333" w:type="dxa"/>
            <w:gridSpan w:val="2"/>
            <w:tcBorders>
              <w:top w:val="nil"/>
              <w:left w:val="nil"/>
              <w:bottom w:val="nil"/>
              <w:right w:val="single" w:sz="4" w:space="0" w:color="auto"/>
            </w:tcBorders>
          </w:tcPr>
          <w:p w:rsidR="005871B8" w:rsidRPr="001D39EA" w:rsidRDefault="005871B8" w:rsidP="00D16170">
            <w:pPr>
              <w:spacing w:line="240" w:lineRule="auto"/>
              <w:jc w:val="both"/>
              <w:rPr>
                <w:rFonts w:ascii="Lato" w:hAnsi="Lato"/>
                <w:szCs w:val="22"/>
              </w:rPr>
            </w:pPr>
            <w:r w:rsidRPr="001D39EA">
              <w:rPr>
                <w:rFonts w:ascii="Lato" w:hAnsi="Lato"/>
                <w:szCs w:val="22"/>
              </w:rPr>
              <w:t>Confirm that the calculation of the net asset value per share of each class is clearly</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1F3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D16170">
            <w:pPr>
              <w:spacing w:line="240" w:lineRule="auto"/>
              <w:jc w:val="both"/>
              <w:rPr>
                <w:rFonts w:ascii="Lato" w:hAnsi="Lato"/>
                <w:szCs w:val="22"/>
              </w:rPr>
            </w:pPr>
            <w:r w:rsidRPr="001D39EA">
              <w:rPr>
                <w:rFonts w:ascii="Lato" w:hAnsi="Lato"/>
                <w:szCs w:val="22"/>
              </w:rPr>
              <w:t>provided for</w:t>
            </w: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6B6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spacing w:line="240" w:lineRule="auto"/>
              <w:jc w:val="both"/>
              <w:rPr>
                <w:rFonts w:ascii="Lato" w:hAnsi="Lato"/>
                <w:szCs w:val="22"/>
                <w:lang w:val="en-IE"/>
              </w:rPr>
            </w:pP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6B6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single" w:sz="4" w:space="0" w:color="auto"/>
            </w:tcBorders>
          </w:tcPr>
          <w:p w:rsidR="005871B8" w:rsidRPr="001D39EA" w:rsidRDefault="005871B8" w:rsidP="00DF03AC">
            <w:pPr>
              <w:spacing w:line="240" w:lineRule="auto"/>
              <w:rPr>
                <w:rFonts w:ascii="Lato" w:hAnsi="Lato"/>
                <w:b/>
                <w:szCs w:val="22"/>
                <w:lang w:val="en-IE"/>
              </w:rPr>
            </w:pPr>
            <w:r w:rsidRPr="001D39EA">
              <w:rPr>
                <w:rFonts w:ascii="Lato" w:hAnsi="Lato"/>
                <w:b/>
                <w:szCs w:val="22"/>
                <w:lang w:val="en-IE"/>
              </w:rPr>
              <w:t>3.15</w:t>
            </w:r>
          </w:p>
        </w:tc>
        <w:tc>
          <w:tcPr>
            <w:tcW w:w="8333" w:type="dxa"/>
            <w:gridSpan w:val="2"/>
            <w:tcBorders>
              <w:top w:val="single" w:sz="4" w:space="0" w:color="auto"/>
              <w:left w:val="single" w:sz="4" w:space="0" w:color="auto"/>
              <w:bottom w:val="single" w:sz="4" w:space="0" w:color="auto"/>
              <w:right w:val="single" w:sz="4" w:space="0" w:color="auto"/>
            </w:tcBorders>
          </w:tcPr>
          <w:p w:rsidR="005871B8" w:rsidRPr="001D39EA" w:rsidRDefault="005871B8" w:rsidP="00A8518D">
            <w:pPr>
              <w:pStyle w:val="BodyTextIndent"/>
              <w:ind w:left="-5"/>
              <w:jc w:val="both"/>
              <w:rPr>
                <w:rFonts w:ascii="Lato" w:hAnsi="Lato"/>
                <w:bCs w:val="0"/>
                <w:sz w:val="22"/>
                <w:szCs w:val="22"/>
              </w:rPr>
            </w:pPr>
            <w:r w:rsidRPr="001D39EA">
              <w:rPr>
                <w:rFonts w:ascii="Lato" w:hAnsi="Lato"/>
                <w:bCs w:val="0"/>
                <w:sz w:val="22"/>
                <w:szCs w:val="22"/>
              </w:rPr>
              <w:t>Side Pocket Share Classes</w:t>
            </w: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D57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c>
          <w:tcPr>
            <w:tcW w:w="8333" w:type="dxa"/>
            <w:gridSpan w:val="2"/>
            <w:tcBorders>
              <w:top w:val="single" w:sz="4" w:space="0" w:color="auto"/>
              <w:left w:val="nil"/>
              <w:bottom w:val="nil"/>
              <w:right w:val="nil"/>
            </w:tcBorders>
          </w:tcPr>
          <w:p w:rsidR="005871B8" w:rsidRPr="001D39EA" w:rsidRDefault="005871B8" w:rsidP="00A8518D">
            <w:pPr>
              <w:pStyle w:val="BodyTextIndent"/>
              <w:ind w:left="-5"/>
              <w:jc w:val="both"/>
              <w:rPr>
                <w:rFonts w:ascii="Lato" w:hAnsi="Lato"/>
                <w:b w:val="0"/>
                <w:bCs w:val="0"/>
                <w:sz w:val="22"/>
                <w:szCs w:val="22"/>
              </w:rPr>
            </w:pP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E1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3.15.1</w:t>
            </w:r>
          </w:p>
        </w:tc>
        <w:tc>
          <w:tcPr>
            <w:tcW w:w="8333" w:type="dxa"/>
            <w:gridSpan w:val="2"/>
            <w:tcBorders>
              <w:top w:val="nil"/>
              <w:left w:val="nil"/>
              <w:bottom w:val="nil"/>
              <w:right w:val="nil"/>
            </w:tcBorders>
          </w:tcPr>
          <w:p w:rsidR="005871B8" w:rsidRPr="001D39EA" w:rsidRDefault="005871B8" w:rsidP="00A8518D">
            <w:pPr>
              <w:pStyle w:val="BodyTextIndent"/>
              <w:ind w:left="-5"/>
              <w:jc w:val="both"/>
              <w:rPr>
                <w:rFonts w:ascii="Lato" w:hAnsi="Lato"/>
                <w:b w:val="0"/>
                <w:bCs w:val="0"/>
                <w:i/>
                <w:sz w:val="22"/>
                <w:szCs w:val="22"/>
              </w:rPr>
            </w:pPr>
            <w:r w:rsidRPr="001D39EA">
              <w:rPr>
                <w:rFonts w:ascii="Lato" w:hAnsi="Lato"/>
                <w:b w:val="0"/>
                <w:bCs w:val="0"/>
                <w:i/>
                <w:sz w:val="22"/>
                <w:szCs w:val="22"/>
              </w:rPr>
              <w:t>Side pocket share classes – Assets which become illiquid or difficult to value</w:t>
            </w: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E1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jc w:val="right"/>
              <w:rPr>
                <w:rFonts w:ascii="Lato" w:hAnsi="Lato"/>
                <w:szCs w:val="22"/>
                <w:lang w:val="en-IE"/>
              </w:rPr>
            </w:pPr>
            <w:r w:rsidRPr="001D39EA">
              <w:rPr>
                <w:rFonts w:ascii="Lato" w:hAnsi="Lato"/>
                <w:szCs w:val="22"/>
                <w:lang w:val="en-IE"/>
              </w:rPr>
              <w:t>a)</w:t>
            </w:r>
          </w:p>
        </w:tc>
        <w:tc>
          <w:tcPr>
            <w:tcW w:w="8333" w:type="dxa"/>
            <w:gridSpan w:val="2"/>
            <w:tcBorders>
              <w:top w:val="nil"/>
              <w:left w:val="nil"/>
              <w:bottom w:val="nil"/>
              <w:right w:val="single" w:sz="4" w:space="0" w:color="auto"/>
            </w:tcBorders>
          </w:tcPr>
          <w:p w:rsidR="005871B8" w:rsidRPr="001D39EA" w:rsidRDefault="005871B8">
            <w:pPr>
              <w:pStyle w:val="BodyTextIndent"/>
              <w:ind w:left="-5"/>
              <w:jc w:val="both"/>
              <w:rPr>
                <w:rFonts w:ascii="Lato" w:hAnsi="Lato"/>
                <w:b w:val="0"/>
                <w:bCs w:val="0"/>
                <w:i/>
                <w:sz w:val="22"/>
                <w:szCs w:val="22"/>
              </w:rPr>
            </w:pPr>
            <w:r w:rsidRPr="001D39EA">
              <w:rPr>
                <w:rFonts w:ascii="Lato" w:hAnsi="Lato"/>
                <w:b w:val="0"/>
                <w:bCs w:val="0"/>
                <w:sz w:val="22"/>
                <w:szCs w:val="22"/>
              </w:rPr>
              <w:t xml:space="preserve">Where relevant, provide that the Qualifying Investor AIF has the ability to  establish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E1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250034">
            <w:pPr>
              <w:pStyle w:val="BodyTextIndent"/>
              <w:ind w:left="-5"/>
              <w:jc w:val="both"/>
              <w:rPr>
                <w:rFonts w:ascii="Lato" w:hAnsi="Lato"/>
                <w:b w:val="0"/>
                <w:bCs w:val="0"/>
                <w:i/>
                <w:sz w:val="22"/>
                <w:szCs w:val="22"/>
              </w:rPr>
            </w:pPr>
            <w:r w:rsidRPr="00F72ED7">
              <w:rPr>
                <w:rFonts w:ascii="Lato" w:hAnsi="Lato"/>
                <w:b w:val="0"/>
                <w:bCs w:val="0"/>
                <w:sz w:val="22"/>
                <w:szCs w:val="22"/>
              </w:rPr>
              <w:t>side</w:t>
            </w:r>
            <w:r w:rsidRPr="00DC0539">
              <w:rPr>
                <w:rFonts w:ascii="Lato" w:hAnsi="Lato"/>
                <w:b w:val="0"/>
                <w:bCs w:val="0"/>
                <w:sz w:val="22"/>
                <w:szCs w:val="22"/>
              </w:rPr>
              <w:t xml:space="preserve"> </w:t>
            </w:r>
            <w:r w:rsidR="005871B8" w:rsidRPr="001D39EA">
              <w:rPr>
                <w:rFonts w:ascii="Lato" w:hAnsi="Lato"/>
                <w:b w:val="0"/>
                <w:bCs w:val="0"/>
                <w:sz w:val="22"/>
                <w:szCs w:val="22"/>
              </w:rPr>
              <w:t xml:space="preserve">pocket share classes into which assets which have become illiquid or difficult to </w:t>
            </w: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E1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250034" w:rsidP="00A8518D">
            <w:pPr>
              <w:pStyle w:val="BodyTextIndent"/>
              <w:ind w:left="-5"/>
              <w:jc w:val="both"/>
              <w:rPr>
                <w:rFonts w:ascii="Lato" w:hAnsi="Lato"/>
                <w:b w:val="0"/>
                <w:bCs w:val="0"/>
                <w:i/>
                <w:sz w:val="22"/>
                <w:szCs w:val="22"/>
              </w:rPr>
            </w:pPr>
            <w:r w:rsidRPr="00F72ED7">
              <w:rPr>
                <w:rFonts w:ascii="Lato" w:hAnsi="Lato"/>
                <w:b w:val="0"/>
                <w:bCs w:val="0"/>
                <w:sz w:val="22"/>
                <w:szCs w:val="22"/>
              </w:rPr>
              <w:t>value</w:t>
            </w:r>
            <w:r w:rsidRPr="00DC0539">
              <w:rPr>
                <w:rFonts w:ascii="Lato" w:hAnsi="Lato"/>
                <w:b w:val="0"/>
                <w:bCs w:val="0"/>
                <w:sz w:val="22"/>
                <w:szCs w:val="22"/>
              </w:rPr>
              <w:t xml:space="preserve"> </w:t>
            </w:r>
            <w:r w:rsidR="005871B8" w:rsidRPr="001D39EA">
              <w:rPr>
                <w:rFonts w:ascii="Lato" w:hAnsi="Lato"/>
                <w:b w:val="0"/>
                <w:bCs w:val="0"/>
                <w:sz w:val="22"/>
                <w:szCs w:val="22"/>
              </w:rPr>
              <w:t>may be placed</w:t>
            </w: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A75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pStyle w:val="BodyTextIndent"/>
              <w:ind w:left="-5"/>
              <w:jc w:val="both"/>
              <w:rPr>
                <w:rFonts w:ascii="Lato" w:hAnsi="Lato"/>
                <w:b w:val="0"/>
                <w:bCs w:val="0"/>
                <w:sz w:val="22"/>
                <w:szCs w:val="22"/>
              </w:rPr>
            </w:pP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A75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jc w:val="right"/>
              <w:rPr>
                <w:rFonts w:ascii="Lato" w:hAnsi="Lato"/>
                <w:szCs w:val="22"/>
                <w:lang w:val="en-IE"/>
              </w:rPr>
            </w:pPr>
            <w:r w:rsidRPr="001D39EA">
              <w:rPr>
                <w:rFonts w:ascii="Lato" w:hAnsi="Lato"/>
                <w:szCs w:val="22"/>
                <w:lang w:val="en-IE"/>
              </w:rPr>
              <w:t>b)</w:t>
            </w:r>
          </w:p>
        </w:tc>
        <w:tc>
          <w:tcPr>
            <w:tcW w:w="8333" w:type="dxa"/>
            <w:gridSpan w:val="2"/>
            <w:tcBorders>
              <w:top w:val="nil"/>
              <w:left w:val="nil"/>
              <w:bottom w:val="nil"/>
              <w:right w:val="single" w:sz="4" w:space="0" w:color="auto"/>
            </w:tcBorders>
          </w:tcPr>
          <w:p w:rsidR="005871B8" w:rsidRPr="001D39EA" w:rsidRDefault="005871B8" w:rsidP="00A8518D">
            <w:pPr>
              <w:pStyle w:val="BodyTextIndent"/>
              <w:ind w:left="-5"/>
              <w:jc w:val="both"/>
              <w:rPr>
                <w:rFonts w:ascii="Lato" w:hAnsi="Lato"/>
                <w:b w:val="0"/>
                <w:bCs w:val="0"/>
                <w:sz w:val="22"/>
                <w:szCs w:val="22"/>
              </w:rPr>
            </w:pPr>
            <w:r w:rsidRPr="001D39EA">
              <w:rPr>
                <w:rFonts w:ascii="Lato" w:hAnsi="Lato"/>
                <w:b w:val="0"/>
                <w:bCs w:val="0"/>
                <w:sz w:val="22"/>
                <w:szCs w:val="22"/>
              </w:rPr>
              <w:t xml:space="preserve">Disclose the parameters which will apply to the creation of side pocket share classes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A75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pStyle w:val="BodyTextIndent"/>
              <w:ind w:left="-5"/>
              <w:jc w:val="both"/>
              <w:rPr>
                <w:rFonts w:ascii="Lato" w:hAnsi="Lato"/>
                <w:b w:val="0"/>
                <w:bCs w:val="0"/>
                <w:sz w:val="22"/>
                <w:szCs w:val="22"/>
              </w:rPr>
            </w:pP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A75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3.15.2</w:t>
            </w:r>
          </w:p>
        </w:tc>
        <w:tc>
          <w:tcPr>
            <w:tcW w:w="8333" w:type="dxa"/>
            <w:gridSpan w:val="2"/>
            <w:tcBorders>
              <w:top w:val="nil"/>
              <w:left w:val="nil"/>
              <w:bottom w:val="nil"/>
              <w:right w:val="nil"/>
            </w:tcBorders>
          </w:tcPr>
          <w:p w:rsidR="005871B8" w:rsidRPr="001D39EA" w:rsidRDefault="005871B8" w:rsidP="00A8518D">
            <w:pPr>
              <w:pStyle w:val="BodyTextIndent"/>
              <w:ind w:left="-5"/>
              <w:jc w:val="both"/>
              <w:rPr>
                <w:rFonts w:ascii="Lato" w:hAnsi="Lato"/>
                <w:b w:val="0"/>
                <w:bCs w:val="0"/>
                <w:i/>
                <w:sz w:val="22"/>
                <w:szCs w:val="22"/>
              </w:rPr>
            </w:pPr>
            <w:r w:rsidRPr="001D39EA">
              <w:rPr>
                <w:rFonts w:ascii="Lato" w:hAnsi="Lato"/>
                <w:b w:val="0"/>
                <w:bCs w:val="0"/>
                <w:i/>
                <w:sz w:val="22"/>
                <w:szCs w:val="22"/>
              </w:rPr>
              <w:t>Side pocket share classes – Assets which are illiquid when purchased (permitted only for closed-ended and open-ended with limited liquidity funds)</w:t>
            </w:r>
          </w:p>
        </w:tc>
        <w:tc>
          <w:tcPr>
            <w:tcW w:w="1259" w:type="dxa"/>
            <w:gridSpan w:val="3"/>
            <w:tcBorders>
              <w:top w:val="nil"/>
              <w:left w:val="nil"/>
              <w:bottom w:val="single" w:sz="4" w:space="0" w:color="auto"/>
              <w:right w:val="nil"/>
            </w:tcBorders>
          </w:tcPr>
          <w:p w:rsidR="005871B8" w:rsidRPr="001D39EA" w:rsidRDefault="005871B8" w:rsidP="00A8518D">
            <w:pPr>
              <w:spacing w:line="240" w:lineRule="auto"/>
              <w:rPr>
                <w:rFonts w:ascii="Lato" w:hAnsi="Lato"/>
                <w:szCs w:val="22"/>
                <w:lang w:val="en-IE"/>
              </w:rPr>
            </w:pPr>
          </w:p>
        </w:tc>
      </w:tr>
      <w:tr w:rsidR="005871B8" w:rsidRPr="00DC0539" w:rsidTr="00A75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5A060C">
            <w:pPr>
              <w:spacing w:line="240" w:lineRule="auto"/>
              <w:jc w:val="right"/>
              <w:rPr>
                <w:rFonts w:ascii="Lato" w:hAnsi="Lato"/>
                <w:szCs w:val="22"/>
                <w:lang w:val="en-IE"/>
              </w:rPr>
            </w:pPr>
            <w:r w:rsidRPr="001D39EA">
              <w:rPr>
                <w:rFonts w:ascii="Lato" w:hAnsi="Lato"/>
                <w:szCs w:val="22"/>
                <w:lang w:val="en-IE"/>
              </w:rPr>
              <w:t>a)</w:t>
            </w:r>
          </w:p>
        </w:tc>
        <w:tc>
          <w:tcPr>
            <w:tcW w:w="8333" w:type="dxa"/>
            <w:gridSpan w:val="2"/>
            <w:tcBorders>
              <w:top w:val="nil"/>
              <w:left w:val="nil"/>
              <w:bottom w:val="nil"/>
              <w:right w:val="single" w:sz="4" w:space="0" w:color="auto"/>
            </w:tcBorders>
          </w:tcPr>
          <w:p w:rsidR="005871B8" w:rsidRPr="001D39EA" w:rsidRDefault="005871B8" w:rsidP="00A75131">
            <w:pPr>
              <w:pStyle w:val="BodyTextIndent"/>
              <w:ind w:left="-5"/>
              <w:jc w:val="both"/>
              <w:rPr>
                <w:rFonts w:ascii="Lato" w:hAnsi="Lato"/>
                <w:b w:val="0"/>
                <w:bCs w:val="0"/>
                <w:sz w:val="22"/>
                <w:szCs w:val="22"/>
              </w:rPr>
            </w:pPr>
            <w:r w:rsidRPr="001D39EA">
              <w:rPr>
                <w:rFonts w:ascii="Lato" w:hAnsi="Lato"/>
                <w:b w:val="0"/>
                <w:bCs w:val="0"/>
                <w:sz w:val="22"/>
                <w:szCs w:val="22"/>
              </w:rPr>
              <w:t xml:space="preserve">Where relevant provide that a Qualifying Investor AIF may establish side pocket share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A8518D">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pStyle w:val="BodyTextIndent"/>
              <w:ind w:left="-5"/>
              <w:jc w:val="both"/>
              <w:rPr>
                <w:rFonts w:ascii="Lato" w:hAnsi="Lato"/>
                <w:b w:val="0"/>
                <w:bCs w:val="0"/>
                <w:sz w:val="22"/>
                <w:szCs w:val="22"/>
              </w:rPr>
            </w:pPr>
            <w:r w:rsidRPr="001D39EA">
              <w:rPr>
                <w:rFonts w:ascii="Lato" w:hAnsi="Lato"/>
                <w:b w:val="0"/>
                <w:bCs w:val="0"/>
                <w:sz w:val="22"/>
                <w:szCs w:val="22"/>
              </w:rPr>
              <w:t>classes into which assets which are illiquid when purchased may be placed</w:t>
            </w:r>
          </w:p>
        </w:tc>
        <w:tc>
          <w:tcPr>
            <w:tcW w:w="1259" w:type="dxa"/>
            <w:gridSpan w:val="3"/>
            <w:tcBorders>
              <w:top w:val="single" w:sz="4" w:space="0" w:color="auto"/>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tcBorders>
              <w:top w:val="nil"/>
              <w:left w:val="nil"/>
              <w:bottom w:val="nil"/>
              <w:right w:val="nil"/>
            </w:tcBorders>
          </w:tcPr>
          <w:p w:rsidR="005871B8" w:rsidRPr="001D39EA" w:rsidRDefault="005871B8" w:rsidP="00E13F28">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A8518D">
            <w:pPr>
              <w:pStyle w:val="BodyTextIndent"/>
              <w:ind w:left="-5"/>
              <w:jc w:val="both"/>
              <w:rPr>
                <w:rFonts w:ascii="Lato" w:hAnsi="Lato"/>
                <w:b w:val="0"/>
                <w:bCs w:val="0"/>
                <w:sz w:val="22"/>
                <w:szCs w:val="22"/>
              </w:rPr>
            </w:pPr>
          </w:p>
        </w:tc>
        <w:tc>
          <w:tcPr>
            <w:tcW w:w="1259" w:type="dxa"/>
            <w:gridSpan w:val="3"/>
            <w:tcBorders>
              <w:top w:val="nil"/>
              <w:left w:val="nil"/>
              <w:bottom w:val="nil"/>
              <w:right w:val="nil"/>
            </w:tcBorders>
          </w:tcPr>
          <w:p w:rsidR="005871B8" w:rsidRPr="001D39EA" w:rsidRDefault="005871B8" w:rsidP="00A8518D">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single" w:sz="4" w:space="0" w:color="auto"/>
            </w:tcBorders>
          </w:tcPr>
          <w:p w:rsidR="005871B8" w:rsidRPr="001D39EA" w:rsidRDefault="005871B8" w:rsidP="00DF03AC">
            <w:pPr>
              <w:spacing w:line="240" w:lineRule="auto"/>
              <w:rPr>
                <w:rFonts w:ascii="Lato" w:hAnsi="Lato"/>
                <w:b/>
                <w:bCs/>
                <w:szCs w:val="22"/>
                <w:lang w:val="en-IE"/>
              </w:rPr>
            </w:pPr>
            <w:r w:rsidRPr="001D39EA">
              <w:rPr>
                <w:rFonts w:ascii="Lato" w:hAnsi="Lato"/>
                <w:b/>
                <w:bCs/>
                <w:szCs w:val="22"/>
                <w:lang w:val="en-IE"/>
              </w:rPr>
              <w:t>3.16</w:t>
            </w:r>
          </w:p>
        </w:tc>
        <w:tc>
          <w:tcPr>
            <w:tcW w:w="8333" w:type="dxa"/>
            <w:gridSpan w:val="2"/>
            <w:tcBorders>
              <w:top w:val="single" w:sz="4" w:space="0" w:color="auto"/>
              <w:left w:val="single" w:sz="4" w:space="0" w:color="auto"/>
              <w:bottom w:val="single" w:sz="4" w:space="0" w:color="auto"/>
              <w:right w:val="single" w:sz="4" w:space="0" w:color="auto"/>
            </w:tcBorders>
          </w:tcPr>
          <w:p w:rsidR="005871B8" w:rsidRPr="001D39EA" w:rsidRDefault="005871B8" w:rsidP="00821635">
            <w:pPr>
              <w:spacing w:line="240" w:lineRule="auto"/>
              <w:jc w:val="both"/>
              <w:rPr>
                <w:rFonts w:ascii="Lato" w:hAnsi="Lato"/>
                <w:b/>
                <w:bCs/>
                <w:szCs w:val="22"/>
                <w:lang w:val="en-IE"/>
              </w:rPr>
            </w:pPr>
            <w:r w:rsidRPr="001D39EA">
              <w:rPr>
                <w:rFonts w:ascii="Lato" w:hAnsi="Lato"/>
                <w:b/>
                <w:bCs/>
                <w:szCs w:val="22"/>
                <w:lang w:val="en-IE"/>
              </w:rPr>
              <w:t xml:space="preserve">Qualifying Investors </w:t>
            </w:r>
          </w:p>
        </w:tc>
        <w:tc>
          <w:tcPr>
            <w:tcW w:w="1259" w:type="dxa"/>
            <w:gridSpan w:val="3"/>
            <w:tcBorders>
              <w:top w:val="nil"/>
              <w:left w:val="single" w:sz="4" w:space="0" w:color="auto"/>
              <w:bottom w:val="nil"/>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rPr>
                <w:rFonts w:ascii="Lato" w:hAnsi="Lato"/>
                <w:szCs w:val="22"/>
                <w:lang w:val="en-IE"/>
              </w:rPr>
            </w:pPr>
          </w:p>
        </w:tc>
        <w:tc>
          <w:tcPr>
            <w:tcW w:w="8333" w:type="dxa"/>
            <w:gridSpan w:val="2"/>
            <w:tcBorders>
              <w:top w:val="single" w:sz="4" w:space="0" w:color="auto"/>
              <w:left w:val="nil"/>
              <w:bottom w:val="nil"/>
              <w:right w:val="nil"/>
            </w:tcBorders>
          </w:tcPr>
          <w:p w:rsidR="005871B8" w:rsidRPr="001D39EA" w:rsidRDefault="005871B8" w:rsidP="00821635">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5"/>
        </w:trPr>
        <w:tc>
          <w:tcPr>
            <w:tcW w:w="986" w:type="dxa"/>
            <w:gridSpan w:val="3"/>
            <w:vMerge w:val="restart"/>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3.16.1</w:t>
            </w:r>
          </w:p>
        </w:tc>
        <w:tc>
          <w:tcPr>
            <w:tcW w:w="8333" w:type="dxa"/>
            <w:gridSpan w:val="2"/>
            <w:vMerge w:val="restart"/>
            <w:tcBorders>
              <w:top w:val="nil"/>
              <w:left w:val="nil"/>
              <w:bottom w:val="nil"/>
              <w:right w:val="single" w:sz="4" w:space="0" w:color="auto"/>
            </w:tcBorders>
          </w:tcPr>
          <w:p w:rsidR="005871B8" w:rsidRPr="001D39EA" w:rsidRDefault="005871B8" w:rsidP="00821635">
            <w:pPr>
              <w:spacing w:line="240" w:lineRule="auto"/>
              <w:jc w:val="both"/>
              <w:rPr>
                <w:rFonts w:ascii="Lato" w:hAnsi="Lato"/>
                <w:szCs w:val="22"/>
                <w:lang w:val="en-IE"/>
              </w:rPr>
            </w:pPr>
            <w:r w:rsidRPr="001D39EA">
              <w:rPr>
                <w:rFonts w:ascii="Lato" w:hAnsi="Lato"/>
                <w:szCs w:val="22"/>
                <w:lang w:val="en-IE"/>
              </w:rPr>
              <w:t>Specify that the Qualifying Investor AIF has a minimum subscription requirement of €100,000 (or its equivalent in other currencies)</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cantSplit/>
          <w:trHeight w:val="254"/>
        </w:trPr>
        <w:tc>
          <w:tcPr>
            <w:tcW w:w="986" w:type="dxa"/>
            <w:gridSpan w:val="3"/>
            <w:vMerge/>
            <w:tcBorders>
              <w:top w:val="nil"/>
              <w:left w:val="nil"/>
              <w:bottom w:val="nil"/>
              <w:right w:val="nil"/>
            </w:tcBorders>
          </w:tcPr>
          <w:p w:rsidR="005871B8" w:rsidRPr="001D39EA" w:rsidRDefault="005871B8" w:rsidP="00821635">
            <w:pPr>
              <w:spacing w:line="240" w:lineRule="auto"/>
              <w:rPr>
                <w:rFonts w:ascii="Lato" w:hAnsi="Lato"/>
                <w:szCs w:val="22"/>
                <w:lang w:val="en-IE"/>
              </w:rPr>
            </w:pPr>
          </w:p>
        </w:tc>
        <w:tc>
          <w:tcPr>
            <w:tcW w:w="8333" w:type="dxa"/>
            <w:gridSpan w:val="2"/>
            <w:vMerge/>
            <w:tcBorders>
              <w:top w:val="nil"/>
              <w:left w:val="nil"/>
              <w:bottom w:val="nil"/>
              <w:right w:val="nil"/>
            </w:tcBorders>
          </w:tcPr>
          <w:p w:rsidR="005871B8" w:rsidRPr="001D39EA" w:rsidRDefault="005871B8" w:rsidP="00821635">
            <w:pPr>
              <w:spacing w:line="240" w:lineRule="auto"/>
              <w:jc w:val="both"/>
              <w:rPr>
                <w:rFonts w:ascii="Lato" w:hAnsi="Lato"/>
                <w:szCs w:val="22"/>
                <w:lang w:val="en-IE"/>
              </w:rPr>
            </w:pPr>
          </w:p>
        </w:tc>
        <w:tc>
          <w:tcPr>
            <w:tcW w:w="1259" w:type="dxa"/>
            <w:gridSpan w:val="3"/>
            <w:tcBorders>
              <w:top w:val="single" w:sz="4" w:space="0" w:color="auto"/>
              <w:left w:val="nil"/>
              <w:bottom w:val="nil"/>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rPr>
                <w:rFonts w:ascii="Lato" w:hAnsi="Lato"/>
                <w:szCs w:val="22"/>
                <w:lang w:val="en-IE"/>
              </w:rPr>
            </w:pPr>
          </w:p>
        </w:tc>
        <w:tc>
          <w:tcPr>
            <w:tcW w:w="8333" w:type="dxa"/>
            <w:gridSpan w:val="2"/>
            <w:tcBorders>
              <w:top w:val="nil"/>
              <w:left w:val="nil"/>
              <w:bottom w:val="nil"/>
              <w:right w:val="nil"/>
            </w:tcBorders>
          </w:tcPr>
          <w:p w:rsidR="005871B8" w:rsidRPr="001D39EA" w:rsidRDefault="005871B8" w:rsidP="00821635">
            <w:pPr>
              <w:spacing w:line="240" w:lineRule="auto"/>
              <w:jc w:val="both"/>
              <w:rPr>
                <w:rFonts w:ascii="Lato" w:hAnsi="Lato"/>
                <w:szCs w:val="22"/>
                <w:lang w:val="en-IE"/>
              </w:rPr>
            </w:pPr>
          </w:p>
        </w:tc>
        <w:tc>
          <w:tcPr>
            <w:tcW w:w="1259" w:type="dxa"/>
            <w:gridSpan w:val="3"/>
            <w:tcBorders>
              <w:top w:val="nil"/>
              <w:left w:val="nil"/>
              <w:bottom w:val="nil"/>
              <w:right w:val="nil"/>
            </w:tcBorders>
          </w:tcPr>
          <w:p w:rsidR="005871B8" w:rsidRPr="001D39EA" w:rsidRDefault="005871B8" w:rsidP="00821635">
            <w:pPr>
              <w:spacing w:line="240" w:lineRule="auto"/>
              <w:rPr>
                <w:rFonts w:ascii="Lato" w:hAnsi="Lato"/>
                <w:szCs w:val="22"/>
                <w:lang w:val="en-IE"/>
              </w:rPr>
            </w:pPr>
          </w:p>
        </w:tc>
      </w:tr>
      <w:tr w:rsidR="005871B8" w:rsidRPr="00DC0539"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DF03AC">
            <w:pPr>
              <w:spacing w:line="240" w:lineRule="auto"/>
              <w:rPr>
                <w:rFonts w:ascii="Lato" w:hAnsi="Lato"/>
                <w:szCs w:val="22"/>
                <w:lang w:val="en-IE"/>
              </w:rPr>
            </w:pPr>
            <w:r w:rsidRPr="001D39EA">
              <w:rPr>
                <w:rFonts w:ascii="Lato" w:hAnsi="Lato"/>
                <w:szCs w:val="22"/>
                <w:lang w:val="en-IE"/>
              </w:rPr>
              <w:t>3.16.2</w:t>
            </w:r>
          </w:p>
        </w:tc>
        <w:tc>
          <w:tcPr>
            <w:tcW w:w="8333" w:type="dxa"/>
            <w:gridSpan w:val="2"/>
            <w:tcBorders>
              <w:top w:val="nil"/>
              <w:left w:val="nil"/>
              <w:bottom w:val="nil"/>
              <w:right w:val="nil"/>
            </w:tcBorders>
          </w:tcPr>
          <w:p w:rsidR="005871B8" w:rsidRPr="001D39EA" w:rsidRDefault="005871B8" w:rsidP="00821635">
            <w:pPr>
              <w:spacing w:line="240" w:lineRule="auto"/>
              <w:jc w:val="both"/>
              <w:rPr>
                <w:rFonts w:ascii="Lato" w:hAnsi="Lato"/>
                <w:szCs w:val="22"/>
                <w:lang w:val="en-IE"/>
              </w:rPr>
            </w:pPr>
            <w:r w:rsidRPr="001D39EA">
              <w:rPr>
                <w:rFonts w:ascii="Lato" w:hAnsi="Lato"/>
                <w:szCs w:val="22"/>
                <w:lang w:val="en-IE"/>
              </w:rPr>
              <w:t>A unitholder in a Qualifying Investor AIF must be:</w:t>
            </w:r>
          </w:p>
        </w:tc>
        <w:tc>
          <w:tcPr>
            <w:tcW w:w="1259" w:type="dxa"/>
            <w:gridSpan w:val="3"/>
            <w:tcBorders>
              <w:top w:val="nil"/>
              <w:left w:val="nil"/>
              <w:bottom w:val="single" w:sz="4" w:space="0" w:color="auto"/>
              <w:right w:val="nil"/>
            </w:tcBorders>
          </w:tcPr>
          <w:p w:rsidR="005871B8" w:rsidRPr="001D39EA" w:rsidRDefault="005871B8" w:rsidP="00821635">
            <w:pPr>
              <w:spacing w:line="240" w:lineRule="auto"/>
              <w:rPr>
                <w:rFonts w:ascii="Lato" w:hAnsi="Lato"/>
                <w:szCs w:val="22"/>
                <w:lang w:val="en-IE"/>
              </w:rPr>
            </w:pPr>
          </w:p>
        </w:tc>
      </w:tr>
      <w:tr w:rsidR="005871B8" w:rsidRPr="00DC0539"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r w:rsidRPr="001D39EA">
              <w:rPr>
                <w:rFonts w:ascii="Lato" w:hAnsi="Lato"/>
                <w:szCs w:val="22"/>
                <w:lang w:val="en-IE"/>
              </w:rPr>
              <w:t>a)(i)</w:t>
            </w:r>
          </w:p>
        </w:tc>
        <w:tc>
          <w:tcPr>
            <w:tcW w:w="8333" w:type="dxa"/>
            <w:gridSpan w:val="2"/>
            <w:tcBorders>
              <w:top w:val="nil"/>
              <w:left w:val="nil"/>
              <w:bottom w:val="nil"/>
              <w:right w:val="single" w:sz="4" w:space="0" w:color="auto"/>
            </w:tcBorders>
          </w:tcPr>
          <w:p w:rsidR="005871B8" w:rsidRPr="001D39EA" w:rsidRDefault="005871B8" w:rsidP="00821635">
            <w:pPr>
              <w:spacing w:line="240" w:lineRule="auto"/>
              <w:jc w:val="both"/>
              <w:rPr>
                <w:rFonts w:ascii="Lato" w:hAnsi="Lato"/>
                <w:szCs w:val="22"/>
                <w:lang w:val="en-IE"/>
              </w:rPr>
            </w:pPr>
            <w:r w:rsidRPr="001D39EA">
              <w:rPr>
                <w:rFonts w:ascii="Lato" w:hAnsi="Lato"/>
                <w:szCs w:val="22"/>
                <w:lang w:val="en-IE"/>
              </w:rPr>
              <w:t xml:space="preserve">an investor who is a professional client within the meaning of Annex II of Directive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821635">
            <w:pPr>
              <w:spacing w:line="240" w:lineRule="auto"/>
              <w:rPr>
                <w:rFonts w:ascii="Lato" w:hAnsi="Lato"/>
                <w:szCs w:val="22"/>
                <w:lang w:val="en-IE"/>
              </w:rPr>
            </w:pPr>
          </w:p>
        </w:tc>
      </w:tr>
      <w:tr w:rsidR="005871B8" w:rsidRPr="00DC0539"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5871B8" w:rsidP="00821635">
            <w:pPr>
              <w:spacing w:line="240" w:lineRule="auto"/>
              <w:jc w:val="both"/>
              <w:rPr>
                <w:rFonts w:ascii="Lato" w:hAnsi="Lato"/>
                <w:szCs w:val="22"/>
                <w:lang w:val="en-IE"/>
              </w:rPr>
            </w:pPr>
            <w:r w:rsidRPr="001D39EA">
              <w:rPr>
                <w:rFonts w:ascii="Lato" w:hAnsi="Lato"/>
                <w:szCs w:val="22"/>
                <w:lang w:val="en-IE"/>
              </w:rPr>
              <w:t>2004/39/EC (Markets in Financial Instruments Directive)</w:t>
            </w:r>
          </w:p>
        </w:tc>
        <w:tc>
          <w:tcPr>
            <w:tcW w:w="1259" w:type="dxa"/>
            <w:gridSpan w:val="3"/>
            <w:tcBorders>
              <w:top w:val="single" w:sz="4" w:space="0" w:color="auto"/>
              <w:left w:val="nil"/>
              <w:bottom w:val="nil"/>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r w:rsidRPr="001D39EA">
              <w:rPr>
                <w:rFonts w:ascii="Lato" w:hAnsi="Lato"/>
                <w:szCs w:val="22"/>
                <w:lang w:val="en-IE"/>
              </w:rPr>
              <w:t>(ii)</w:t>
            </w:r>
          </w:p>
        </w:tc>
        <w:tc>
          <w:tcPr>
            <w:tcW w:w="8333" w:type="dxa"/>
            <w:gridSpan w:val="2"/>
            <w:tcBorders>
              <w:top w:val="nil"/>
              <w:left w:val="nil"/>
              <w:bottom w:val="nil"/>
              <w:right w:val="single" w:sz="4" w:space="0" w:color="auto"/>
            </w:tcBorders>
          </w:tcPr>
          <w:p w:rsidR="005871B8" w:rsidRPr="001D39EA" w:rsidRDefault="005871B8">
            <w:pPr>
              <w:spacing w:line="240" w:lineRule="auto"/>
              <w:jc w:val="both"/>
              <w:rPr>
                <w:rFonts w:ascii="Lato" w:hAnsi="Lato"/>
                <w:szCs w:val="22"/>
                <w:lang w:val="en-IE"/>
              </w:rPr>
            </w:pPr>
            <w:r w:rsidRPr="001D39EA">
              <w:rPr>
                <w:rFonts w:ascii="Lato" w:hAnsi="Lato"/>
                <w:szCs w:val="22"/>
              </w:rPr>
              <w:t xml:space="preserve">an investor who receives appraisal from an EU credit institution, a MiFID firm or a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250034" w:rsidP="00821635">
            <w:pPr>
              <w:spacing w:line="240" w:lineRule="auto"/>
              <w:jc w:val="both"/>
              <w:rPr>
                <w:rFonts w:ascii="Lato" w:hAnsi="Lato"/>
                <w:szCs w:val="22"/>
              </w:rPr>
            </w:pPr>
            <w:r w:rsidRPr="00F72ED7">
              <w:rPr>
                <w:rFonts w:ascii="Lato" w:hAnsi="Lato"/>
                <w:szCs w:val="22"/>
              </w:rPr>
              <w:t>UCITS</w:t>
            </w:r>
            <w:r w:rsidRPr="00DC0539">
              <w:rPr>
                <w:rFonts w:ascii="Lato" w:hAnsi="Lato"/>
                <w:szCs w:val="22"/>
              </w:rPr>
              <w:t xml:space="preserve"> </w:t>
            </w:r>
            <w:r w:rsidR="005871B8" w:rsidRPr="001D39EA">
              <w:rPr>
                <w:rFonts w:ascii="Lato" w:hAnsi="Lato"/>
                <w:szCs w:val="22"/>
              </w:rPr>
              <w:t>management company that the investor has the appropriate expertise, experience and knowledge to adequately understand the investment in the Qualifying Investor AIF</w:t>
            </w:r>
          </w:p>
        </w:tc>
        <w:tc>
          <w:tcPr>
            <w:tcW w:w="1259" w:type="dxa"/>
            <w:gridSpan w:val="3"/>
            <w:tcBorders>
              <w:top w:val="single" w:sz="4" w:space="0" w:color="auto"/>
              <w:left w:val="nil"/>
              <w:bottom w:val="nil"/>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r w:rsidRPr="001D39EA">
              <w:rPr>
                <w:rFonts w:ascii="Lato" w:hAnsi="Lato"/>
                <w:szCs w:val="22"/>
                <w:lang w:val="en-IE"/>
              </w:rPr>
              <w:t>(iii)</w:t>
            </w:r>
          </w:p>
        </w:tc>
        <w:tc>
          <w:tcPr>
            <w:tcW w:w="8333" w:type="dxa"/>
            <w:gridSpan w:val="2"/>
            <w:tcBorders>
              <w:top w:val="nil"/>
              <w:left w:val="nil"/>
              <w:bottom w:val="nil"/>
              <w:right w:val="nil"/>
            </w:tcBorders>
          </w:tcPr>
          <w:p w:rsidR="005871B8" w:rsidRPr="001D39EA" w:rsidRDefault="005871B8" w:rsidP="00821635">
            <w:pPr>
              <w:spacing w:line="240" w:lineRule="auto"/>
              <w:jc w:val="both"/>
              <w:rPr>
                <w:rFonts w:ascii="Lato" w:hAnsi="Lato"/>
                <w:szCs w:val="22"/>
              </w:rPr>
            </w:pPr>
            <w:r w:rsidRPr="001D39EA">
              <w:rPr>
                <w:rFonts w:ascii="Lato" w:hAnsi="Lato"/>
                <w:szCs w:val="22"/>
              </w:rPr>
              <w:t>An investor who certifies that they are an informed investor by providing the following:</w:t>
            </w:r>
          </w:p>
        </w:tc>
        <w:tc>
          <w:tcPr>
            <w:tcW w:w="1259" w:type="dxa"/>
            <w:gridSpan w:val="3"/>
            <w:tcBorders>
              <w:top w:val="nil"/>
              <w:left w:val="nil"/>
              <w:bottom w:val="single" w:sz="4" w:space="0" w:color="auto"/>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single" w:sz="4" w:space="0" w:color="auto"/>
            </w:tcBorders>
          </w:tcPr>
          <w:p w:rsidR="005871B8" w:rsidRPr="001D39EA" w:rsidRDefault="005871B8">
            <w:pPr>
              <w:numPr>
                <w:ilvl w:val="0"/>
                <w:numId w:val="30"/>
              </w:numPr>
              <w:spacing w:line="240" w:lineRule="auto"/>
              <w:jc w:val="both"/>
              <w:rPr>
                <w:rFonts w:ascii="Lato" w:hAnsi="Lato"/>
                <w:szCs w:val="22"/>
                <w:lang w:val="en-IE"/>
              </w:rPr>
            </w:pPr>
            <w:r w:rsidRPr="001D39EA">
              <w:rPr>
                <w:rFonts w:ascii="Lato" w:hAnsi="Lato"/>
                <w:szCs w:val="22"/>
                <w:lang w:val="en-IE"/>
              </w:rPr>
              <w:t xml:space="preserve">confirmation (in writing) that the investor has such knowledge of and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250034" w:rsidP="00821635">
            <w:pPr>
              <w:spacing w:line="240" w:lineRule="auto"/>
              <w:ind w:left="720"/>
              <w:jc w:val="both"/>
              <w:rPr>
                <w:rFonts w:ascii="Lato" w:hAnsi="Lato"/>
                <w:szCs w:val="22"/>
                <w:lang w:val="en-IE"/>
              </w:rPr>
            </w:pPr>
            <w:r w:rsidRPr="00F72ED7">
              <w:rPr>
                <w:rFonts w:ascii="Lato" w:hAnsi="Lato"/>
                <w:szCs w:val="22"/>
                <w:lang w:val="en-IE"/>
              </w:rPr>
              <w:t xml:space="preserve">experience in </w:t>
            </w:r>
            <w:r w:rsidR="005871B8" w:rsidRPr="001D39EA">
              <w:rPr>
                <w:rFonts w:ascii="Lato" w:hAnsi="Lato"/>
                <w:szCs w:val="22"/>
                <w:lang w:val="en-IE"/>
              </w:rPr>
              <w:t>financial and business matters as would enable the investor to properly evaluate the merits and risks of the prospective investment; or</w:t>
            </w:r>
          </w:p>
        </w:tc>
        <w:tc>
          <w:tcPr>
            <w:tcW w:w="1259" w:type="dxa"/>
            <w:gridSpan w:val="3"/>
            <w:tcBorders>
              <w:top w:val="single" w:sz="4" w:space="0" w:color="auto"/>
              <w:left w:val="nil"/>
              <w:bottom w:val="single" w:sz="4" w:space="0" w:color="auto"/>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single" w:sz="4" w:space="0" w:color="auto"/>
            </w:tcBorders>
          </w:tcPr>
          <w:p w:rsidR="005871B8" w:rsidRPr="001D39EA" w:rsidRDefault="005871B8">
            <w:pPr>
              <w:numPr>
                <w:ilvl w:val="0"/>
                <w:numId w:val="30"/>
              </w:numPr>
              <w:spacing w:line="240" w:lineRule="auto"/>
              <w:jc w:val="both"/>
              <w:rPr>
                <w:rFonts w:ascii="Lato" w:hAnsi="Lato"/>
                <w:szCs w:val="22"/>
                <w:lang w:val="en-IE"/>
              </w:rPr>
            </w:pPr>
            <w:r w:rsidRPr="001D39EA">
              <w:rPr>
                <w:rFonts w:ascii="Lato" w:hAnsi="Lato"/>
                <w:szCs w:val="22"/>
                <w:lang w:val="en-IE"/>
              </w:rPr>
              <w:t xml:space="preserve">confirmation (in writing) that the investor’s business involves, whether for its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250034" w:rsidP="00821635">
            <w:pPr>
              <w:spacing w:line="240" w:lineRule="auto"/>
              <w:ind w:left="720"/>
              <w:jc w:val="both"/>
              <w:rPr>
                <w:rFonts w:ascii="Lato" w:hAnsi="Lato"/>
                <w:szCs w:val="22"/>
                <w:lang w:val="en-IE"/>
              </w:rPr>
            </w:pPr>
            <w:r w:rsidRPr="00F72ED7">
              <w:rPr>
                <w:rFonts w:ascii="Lato" w:hAnsi="Lato"/>
                <w:szCs w:val="22"/>
                <w:lang w:val="en-IE"/>
              </w:rPr>
              <w:t xml:space="preserve">own </w:t>
            </w:r>
            <w:r w:rsidR="005871B8" w:rsidRPr="001D39EA">
              <w:rPr>
                <w:rFonts w:ascii="Lato" w:hAnsi="Lato"/>
                <w:szCs w:val="22"/>
                <w:lang w:val="en-IE"/>
              </w:rPr>
              <w:t>account or the account of others, the management, acquisition or disposal of property of the same kind as the property of the Qualifying Investor AIF</w:t>
            </w:r>
          </w:p>
        </w:tc>
        <w:tc>
          <w:tcPr>
            <w:tcW w:w="1259" w:type="dxa"/>
            <w:gridSpan w:val="3"/>
            <w:tcBorders>
              <w:top w:val="nil"/>
              <w:left w:val="nil"/>
              <w:bottom w:val="nil"/>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5871B8" w:rsidP="00821635">
            <w:pPr>
              <w:spacing w:line="240" w:lineRule="auto"/>
              <w:ind w:left="720"/>
              <w:jc w:val="both"/>
              <w:rPr>
                <w:rFonts w:ascii="Lato" w:hAnsi="Lato"/>
                <w:szCs w:val="22"/>
                <w:lang w:val="en-IE"/>
              </w:rPr>
            </w:pPr>
          </w:p>
        </w:tc>
        <w:tc>
          <w:tcPr>
            <w:tcW w:w="1259" w:type="dxa"/>
            <w:gridSpan w:val="3"/>
            <w:tcBorders>
              <w:top w:val="nil"/>
              <w:left w:val="nil"/>
              <w:bottom w:val="single" w:sz="4" w:space="0" w:color="auto"/>
              <w:right w:val="nil"/>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r w:rsidRPr="001D39EA">
              <w:rPr>
                <w:rFonts w:ascii="Lato" w:hAnsi="Lato"/>
                <w:szCs w:val="22"/>
                <w:lang w:val="en-IE"/>
              </w:rPr>
              <w:t>(b)</w:t>
            </w:r>
          </w:p>
        </w:tc>
        <w:tc>
          <w:tcPr>
            <w:tcW w:w="8333" w:type="dxa"/>
            <w:gridSpan w:val="2"/>
            <w:tcBorders>
              <w:top w:val="nil"/>
              <w:left w:val="nil"/>
              <w:bottom w:val="nil"/>
              <w:right w:val="single" w:sz="4" w:space="0" w:color="auto"/>
            </w:tcBorders>
          </w:tcPr>
          <w:p w:rsidR="005871B8" w:rsidRPr="001D39EA" w:rsidRDefault="005871B8">
            <w:pPr>
              <w:spacing w:line="240" w:lineRule="auto"/>
              <w:jc w:val="both"/>
              <w:rPr>
                <w:rFonts w:ascii="Lato" w:hAnsi="Lato"/>
                <w:szCs w:val="22"/>
                <w:lang w:val="en-IE"/>
              </w:rPr>
            </w:pPr>
            <w:r w:rsidRPr="001D39EA">
              <w:rPr>
                <w:rFonts w:ascii="Lato" w:hAnsi="Lato"/>
                <w:szCs w:val="22"/>
                <w:lang w:val="en-IE"/>
              </w:rPr>
              <w:t xml:space="preserve">Within the EU, the Qualifying Investor AIF may only be marketed to professional </w:t>
            </w:r>
          </w:p>
        </w:tc>
        <w:tc>
          <w:tcPr>
            <w:tcW w:w="1259" w:type="dxa"/>
            <w:gridSpan w:val="3"/>
            <w:tcBorders>
              <w:top w:val="single" w:sz="4" w:space="0" w:color="auto"/>
              <w:left w:val="single" w:sz="4" w:space="0" w:color="auto"/>
              <w:bottom w:val="single" w:sz="4" w:space="0" w:color="auto"/>
              <w:right w:val="single" w:sz="4" w:space="0" w:color="auto"/>
            </w:tcBorders>
          </w:tcPr>
          <w:p w:rsidR="005871B8" w:rsidRPr="001D39EA" w:rsidRDefault="005871B8" w:rsidP="00821635">
            <w:pPr>
              <w:spacing w:line="240" w:lineRule="auto"/>
              <w:rPr>
                <w:rFonts w:ascii="Lato" w:hAnsi="Lato"/>
                <w:szCs w:val="22"/>
                <w:lang w:val="en-IE"/>
              </w:rPr>
            </w:pPr>
          </w:p>
        </w:tc>
      </w:tr>
      <w:tr w:rsidR="005871B8" w:rsidRPr="00DC0539" w:rsidTr="00627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250034" w:rsidP="00821635">
            <w:pPr>
              <w:spacing w:line="240" w:lineRule="auto"/>
              <w:jc w:val="both"/>
              <w:rPr>
                <w:rFonts w:ascii="Lato" w:hAnsi="Lato"/>
                <w:szCs w:val="22"/>
                <w:lang w:val="en-IE"/>
              </w:rPr>
            </w:pPr>
            <w:r w:rsidRPr="00F72ED7">
              <w:rPr>
                <w:rFonts w:ascii="Lato" w:hAnsi="Lato"/>
                <w:szCs w:val="22"/>
                <w:lang w:val="en-IE"/>
              </w:rPr>
              <w:t>investors</w:t>
            </w:r>
            <w:r w:rsidRPr="00DC0539">
              <w:rPr>
                <w:rFonts w:ascii="Lato" w:hAnsi="Lato"/>
                <w:szCs w:val="22"/>
                <w:lang w:val="en-IE"/>
              </w:rPr>
              <w:t xml:space="preserve"> </w:t>
            </w:r>
            <w:r w:rsidR="005871B8" w:rsidRPr="001D39EA">
              <w:rPr>
                <w:rFonts w:ascii="Lato" w:hAnsi="Lato"/>
                <w:szCs w:val="22"/>
                <w:lang w:val="en-IE"/>
              </w:rPr>
              <w:t>as defined in the AIFMD unless the Member State in question permits, under the laws of that Member State, the Qualifying Investor AIF to be sold to other categories of investors and this permission encompasses Investors set out in categories (ii) and (iii) above</w:t>
            </w:r>
          </w:p>
        </w:tc>
        <w:tc>
          <w:tcPr>
            <w:tcW w:w="1259" w:type="dxa"/>
            <w:gridSpan w:val="3"/>
            <w:tcBorders>
              <w:top w:val="nil"/>
              <w:left w:val="nil"/>
              <w:bottom w:val="nil"/>
              <w:right w:val="nil"/>
            </w:tcBorders>
          </w:tcPr>
          <w:p w:rsidR="005871B8" w:rsidRPr="001D39EA" w:rsidRDefault="005871B8" w:rsidP="00821635">
            <w:pPr>
              <w:spacing w:line="240" w:lineRule="auto"/>
              <w:rPr>
                <w:rFonts w:ascii="Lato" w:hAnsi="Lato"/>
                <w:szCs w:val="22"/>
                <w:lang w:val="en-IE"/>
              </w:rPr>
            </w:pPr>
          </w:p>
        </w:tc>
      </w:tr>
      <w:tr w:rsidR="005871B8" w:rsidRPr="00DC0539" w:rsidTr="00E5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5871B8" w:rsidRPr="001D39EA" w:rsidRDefault="005871B8"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5871B8" w:rsidRPr="001D39EA" w:rsidRDefault="005871B8" w:rsidP="00821635">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5871B8" w:rsidRPr="001D39EA" w:rsidRDefault="005871B8" w:rsidP="00821635">
            <w:pPr>
              <w:spacing w:line="240" w:lineRule="auto"/>
              <w:rPr>
                <w:rFonts w:ascii="Lato" w:hAnsi="Lato"/>
                <w:szCs w:val="22"/>
                <w:lang w:val="en-IE"/>
              </w:rPr>
            </w:pPr>
          </w:p>
        </w:tc>
      </w:tr>
      <w:tr w:rsidR="00E5585D" w:rsidRPr="00DC0539" w:rsidTr="00E5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E5585D" w:rsidRPr="001D39EA" w:rsidRDefault="00E5585D" w:rsidP="00821635">
            <w:pPr>
              <w:spacing w:line="240" w:lineRule="auto"/>
              <w:jc w:val="right"/>
              <w:rPr>
                <w:rFonts w:ascii="Lato" w:hAnsi="Lato"/>
                <w:szCs w:val="22"/>
                <w:lang w:val="en-IE"/>
              </w:rPr>
            </w:pPr>
            <w:r w:rsidRPr="001D39EA">
              <w:rPr>
                <w:rFonts w:ascii="Lato" w:hAnsi="Lato"/>
                <w:szCs w:val="22"/>
                <w:lang w:val="en-IE"/>
              </w:rPr>
              <w:t>c)</w:t>
            </w:r>
          </w:p>
        </w:tc>
        <w:tc>
          <w:tcPr>
            <w:tcW w:w="8333" w:type="dxa"/>
            <w:gridSpan w:val="2"/>
            <w:tcBorders>
              <w:top w:val="nil"/>
              <w:left w:val="nil"/>
              <w:bottom w:val="nil"/>
              <w:right w:val="single" w:sz="4" w:space="0" w:color="auto"/>
            </w:tcBorders>
          </w:tcPr>
          <w:p w:rsidR="00E5585D" w:rsidRPr="001D39EA" w:rsidRDefault="00E5585D" w:rsidP="00E5585D">
            <w:pPr>
              <w:spacing w:line="240" w:lineRule="auto"/>
              <w:rPr>
                <w:rFonts w:ascii="Lato" w:hAnsi="Lato"/>
                <w:szCs w:val="22"/>
              </w:rPr>
            </w:pPr>
            <w:r w:rsidRPr="001D39EA">
              <w:rPr>
                <w:rFonts w:ascii="Lato" w:hAnsi="Lato"/>
                <w:szCs w:val="22"/>
              </w:rPr>
              <w:t xml:space="preserve">The Qualifying Investor AIF may grant an exemption from the minimum subscription </w:t>
            </w:r>
          </w:p>
        </w:tc>
        <w:tc>
          <w:tcPr>
            <w:tcW w:w="1259" w:type="dxa"/>
            <w:gridSpan w:val="3"/>
            <w:tcBorders>
              <w:top w:val="single" w:sz="4" w:space="0" w:color="auto"/>
              <w:left w:val="single" w:sz="4" w:space="0" w:color="auto"/>
              <w:bottom w:val="single" w:sz="4" w:space="0" w:color="auto"/>
              <w:right w:val="single" w:sz="4" w:space="0" w:color="auto"/>
            </w:tcBorders>
          </w:tcPr>
          <w:p w:rsidR="00E5585D" w:rsidRPr="001D39EA" w:rsidRDefault="00E5585D" w:rsidP="00821635">
            <w:pPr>
              <w:spacing w:line="240" w:lineRule="auto"/>
              <w:rPr>
                <w:rFonts w:ascii="Lato" w:hAnsi="Lato"/>
                <w:szCs w:val="22"/>
                <w:lang w:val="en-IE"/>
              </w:rPr>
            </w:pPr>
          </w:p>
        </w:tc>
      </w:tr>
      <w:tr w:rsidR="00E5585D"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E5585D" w:rsidRPr="001D39EA" w:rsidRDefault="00E5585D"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E5585D" w:rsidRPr="001D39EA" w:rsidRDefault="00E5585D" w:rsidP="001B7AAB">
            <w:pPr>
              <w:spacing w:line="240" w:lineRule="auto"/>
              <w:rPr>
                <w:rFonts w:ascii="Lato" w:hAnsi="Lato"/>
                <w:szCs w:val="22"/>
              </w:rPr>
            </w:pPr>
            <w:r w:rsidRPr="001D39EA">
              <w:rPr>
                <w:rFonts w:ascii="Lato" w:hAnsi="Lato"/>
                <w:szCs w:val="22"/>
              </w:rPr>
              <w:t xml:space="preserve">requirement </w:t>
            </w:r>
            <w:r w:rsidR="001B7AAB" w:rsidRPr="001D39EA">
              <w:rPr>
                <w:rFonts w:ascii="Lato" w:hAnsi="Lato"/>
                <w:szCs w:val="22"/>
              </w:rPr>
              <w:t xml:space="preserve">to </w:t>
            </w:r>
            <w:r w:rsidRPr="001D39EA">
              <w:rPr>
                <w:rFonts w:ascii="Lato" w:hAnsi="Lato"/>
                <w:szCs w:val="22"/>
              </w:rPr>
              <w:t>the following:</w:t>
            </w:r>
          </w:p>
        </w:tc>
        <w:tc>
          <w:tcPr>
            <w:tcW w:w="1259" w:type="dxa"/>
            <w:gridSpan w:val="3"/>
            <w:tcBorders>
              <w:top w:val="single" w:sz="4" w:space="0" w:color="auto"/>
              <w:left w:val="nil"/>
              <w:bottom w:val="nil"/>
              <w:right w:val="nil"/>
            </w:tcBorders>
          </w:tcPr>
          <w:p w:rsidR="00E5585D" w:rsidRPr="001D39EA" w:rsidRDefault="00E5585D" w:rsidP="00821635">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821635">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E5585D">
            <w:pPr>
              <w:spacing w:line="240" w:lineRule="auto"/>
              <w:rPr>
                <w:rFonts w:ascii="Lato" w:hAnsi="Lato"/>
                <w:szCs w:val="22"/>
              </w:rPr>
            </w:pPr>
          </w:p>
        </w:tc>
        <w:tc>
          <w:tcPr>
            <w:tcW w:w="1259" w:type="dxa"/>
            <w:gridSpan w:val="3"/>
            <w:tcBorders>
              <w:top w:val="nil"/>
              <w:left w:val="nil"/>
              <w:bottom w:val="nil"/>
              <w:right w:val="nil"/>
            </w:tcBorders>
          </w:tcPr>
          <w:p w:rsidR="00345E65" w:rsidRPr="001D39EA" w:rsidRDefault="00345E65" w:rsidP="00821635">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r w:rsidRPr="001D39EA">
              <w:rPr>
                <w:rFonts w:ascii="Lato" w:hAnsi="Lato"/>
                <w:szCs w:val="22"/>
                <w:lang w:val="en-IE"/>
              </w:rPr>
              <w:t>(i)</w:t>
            </w:r>
          </w:p>
        </w:tc>
        <w:tc>
          <w:tcPr>
            <w:tcW w:w="8333" w:type="dxa"/>
            <w:gridSpan w:val="2"/>
            <w:tcBorders>
              <w:top w:val="nil"/>
              <w:left w:val="nil"/>
              <w:bottom w:val="nil"/>
              <w:right w:val="single" w:sz="4" w:space="0" w:color="auto"/>
            </w:tcBorders>
          </w:tcPr>
          <w:p w:rsidR="00345E65" w:rsidRPr="001D39EA" w:rsidRDefault="00345E65" w:rsidP="001B7AAB">
            <w:pPr>
              <w:spacing w:line="240" w:lineRule="auto"/>
              <w:jc w:val="both"/>
              <w:rPr>
                <w:rFonts w:ascii="Lato" w:hAnsi="Lato"/>
                <w:szCs w:val="22"/>
                <w:lang w:val="en-IE"/>
              </w:rPr>
            </w:pPr>
            <w:r w:rsidRPr="001D39EA">
              <w:rPr>
                <w:rFonts w:ascii="Lato" w:hAnsi="Lato"/>
                <w:szCs w:val="22"/>
                <w:lang w:val="en-IE"/>
              </w:rPr>
              <w:t xml:space="preserve">the management company </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p>
        </w:tc>
        <w:tc>
          <w:tcPr>
            <w:tcW w:w="1259" w:type="dxa"/>
            <w:gridSpan w:val="3"/>
            <w:tcBorders>
              <w:top w:val="single" w:sz="4" w:space="0" w:color="auto"/>
              <w:left w:val="nil"/>
              <w:bottom w:val="single" w:sz="4" w:space="0" w:color="auto"/>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r w:rsidRPr="001D39EA">
              <w:rPr>
                <w:rFonts w:ascii="Lato" w:hAnsi="Lato"/>
                <w:szCs w:val="22"/>
                <w:lang w:val="en-IE"/>
              </w:rPr>
              <w:t>(ii)</w:t>
            </w:r>
          </w:p>
        </w:tc>
        <w:tc>
          <w:tcPr>
            <w:tcW w:w="8333" w:type="dxa"/>
            <w:gridSpan w:val="2"/>
            <w:tcBorders>
              <w:top w:val="nil"/>
              <w:left w:val="nil"/>
              <w:bottom w:val="nil"/>
              <w:right w:val="single" w:sz="4" w:space="0" w:color="auto"/>
            </w:tcBorders>
          </w:tcPr>
          <w:p w:rsidR="00345E65" w:rsidRPr="001D39EA" w:rsidRDefault="00345E65" w:rsidP="00996DF0">
            <w:pPr>
              <w:spacing w:line="240" w:lineRule="auto"/>
              <w:jc w:val="both"/>
              <w:rPr>
                <w:rFonts w:ascii="Lato" w:hAnsi="Lato"/>
                <w:szCs w:val="22"/>
                <w:lang w:val="en-IE"/>
              </w:rPr>
            </w:pPr>
            <w:r w:rsidRPr="001D39EA">
              <w:rPr>
                <w:rFonts w:ascii="Lato" w:hAnsi="Lato"/>
                <w:szCs w:val="22"/>
                <w:lang w:val="en-IE"/>
              </w:rPr>
              <w:t>a company appointed to provide investment management or advisory services to</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r w:rsidRPr="001D39EA">
              <w:rPr>
                <w:rFonts w:ascii="Lato" w:hAnsi="Lato"/>
                <w:szCs w:val="22"/>
                <w:lang w:val="en-IE"/>
              </w:rPr>
              <w:t>the Qualifying Investor AIF</w:t>
            </w:r>
          </w:p>
        </w:tc>
        <w:tc>
          <w:tcPr>
            <w:tcW w:w="1259" w:type="dxa"/>
            <w:gridSpan w:val="3"/>
            <w:tcBorders>
              <w:top w:val="single" w:sz="4" w:space="0" w:color="auto"/>
              <w:left w:val="nil"/>
              <w:bottom w:val="nil"/>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r w:rsidRPr="001D39EA">
              <w:rPr>
                <w:rFonts w:ascii="Lato" w:hAnsi="Lato"/>
                <w:szCs w:val="22"/>
                <w:lang w:val="en-IE"/>
              </w:rPr>
              <w:t>(iii)</w:t>
            </w:r>
          </w:p>
        </w:tc>
        <w:tc>
          <w:tcPr>
            <w:tcW w:w="8333" w:type="dxa"/>
            <w:gridSpan w:val="2"/>
            <w:tcBorders>
              <w:top w:val="nil"/>
              <w:left w:val="nil"/>
              <w:bottom w:val="nil"/>
              <w:right w:val="single" w:sz="4" w:space="0" w:color="auto"/>
            </w:tcBorders>
          </w:tcPr>
          <w:p w:rsidR="00345E65" w:rsidRPr="001D39EA" w:rsidRDefault="00345E65" w:rsidP="001B7AAB">
            <w:pPr>
              <w:spacing w:line="240" w:lineRule="auto"/>
              <w:jc w:val="both"/>
              <w:rPr>
                <w:rFonts w:ascii="Lato" w:hAnsi="Lato"/>
                <w:szCs w:val="22"/>
                <w:lang w:val="en-IE"/>
              </w:rPr>
            </w:pPr>
            <w:r w:rsidRPr="001D39EA">
              <w:rPr>
                <w:rFonts w:ascii="Lato" w:hAnsi="Lato"/>
                <w:szCs w:val="22"/>
                <w:lang w:val="en-IE"/>
              </w:rPr>
              <w:t xml:space="preserve">a director of the management company, </w:t>
            </w:r>
            <w:r w:rsidR="00872757" w:rsidRPr="001D39EA">
              <w:rPr>
                <w:rFonts w:ascii="Lato" w:hAnsi="Lato"/>
                <w:szCs w:val="22"/>
                <w:lang w:val="en-IE"/>
              </w:rPr>
              <w:t>ICAV</w:t>
            </w:r>
            <w:r w:rsidRPr="001D39EA">
              <w:rPr>
                <w:rFonts w:ascii="Lato" w:hAnsi="Lato"/>
                <w:szCs w:val="22"/>
                <w:lang w:val="en-IE"/>
              </w:rPr>
              <w:t xml:space="preserve"> or a</w:t>
            </w:r>
            <w:r w:rsidR="001B7AAB" w:rsidRPr="001D39EA">
              <w:rPr>
                <w:rFonts w:ascii="Lato" w:hAnsi="Lato"/>
                <w:szCs w:val="22"/>
                <w:lang w:val="en-IE"/>
              </w:rPr>
              <w:t xml:space="preserve"> director of a company appointed</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r w:rsidRPr="001D39EA">
              <w:rPr>
                <w:rFonts w:ascii="Lato" w:hAnsi="Lato"/>
                <w:szCs w:val="22"/>
                <w:lang w:val="en-IE"/>
              </w:rPr>
              <w:t>to provide investment management or advisory services to the Qualifying Investor AIF</w:t>
            </w:r>
          </w:p>
        </w:tc>
        <w:tc>
          <w:tcPr>
            <w:tcW w:w="1259" w:type="dxa"/>
            <w:gridSpan w:val="3"/>
            <w:tcBorders>
              <w:top w:val="single" w:sz="4" w:space="0" w:color="auto"/>
              <w:left w:val="nil"/>
              <w:bottom w:val="nil"/>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r w:rsidRPr="001D39EA">
              <w:rPr>
                <w:rFonts w:ascii="Lato" w:hAnsi="Lato"/>
                <w:szCs w:val="22"/>
                <w:lang w:val="en-IE"/>
              </w:rPr>
              <w:t>(iv)</w:t>
            </w:r>
          </w:p>
        </w:tc>
        <w:tc>
          <w:tcPr>
            <w:tcW w:w="8333" w:type="dxa"/>
            <w:gridSpan w:val="2"/>
            <w:tcBorders>
              <w:top w:val="nil"/>
              <w:left w:val="nil"/>
              <w:bottom w:val="nil"/>
              <w:right w:val="single" w:sz="4" w:space="0" w:color="auto"/>
            </w:tcBorders>
          </w:tcPr>
          <w:p w:rsidR="00345E65" w:rsidRPr="001D39EA" w:rsidRDefault="00345E65" w:rsidP="001B7AAB">
            <w:pPr>
              <w:spacing w:line="240" w:lineRule="auto"/>
              <w:jc w:val="both"/>
              <w:rPr>
                <w:rFonts w:ascii="Lato" w:hAnsi="Lato"/>
                <w:szCs w:val="22"/>
                <w:lang w:val="en-IE"/>
              </w:rPr>
            </w:pPr>
            <w:r w:rsidRPr="001D39EA">
              <w:rPr>
                <w:rFonts w:ascii="Lato" w:hAnsi="Lato"/>
                <w:szCs w:val="22"/>
                <w:lang w:val="en-IE"/>
              </w:rPr>
              <w:t xml:space="preserve">an employee of the management company, </w:t>
            </w:r>
            <w:r w:rsidR="00872757" w:rsidRPr="001D39EA">
              <w:rPr>
                <w:rFonts w:ascii="Lato" w:hAnsi="Lato"/>
                <w:szCs w:val="22"/>
                <w:lang w:val="en-IE"/>
              </w:rPr>
              <w:t>ICAV</w:t>
            </w:r>
            <w:r w:rsidRPr="001D39EA">
              <w:rPr>
                <w:rFonts w:ascii="Lato" w:hAnsi="Lato"/>
                <w:szCs w:val="22"/>
                <w:lang w:val="en-IE"/>
              </w:rPr>
              <w:t>,</w:t>
            </w:r>
            <w:r w:rsidR="001B7AAB" w:rsidRPr="001D39EA">
              <w:rPr>
                <w:rFonts w:ascii="Lato" w:hAnsi="Lato"/>
                <w:szCs w:val="22"/>
                <w:lang w:val="en-IE"/>
              </w:rPr>
              <w:t xml:space="preserve"> or an employee of a company</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r w:rsidRPr="001D39EA">
              <w:rPr>
                <w:rFonts w:ascii="Lato" w:hAnsi="Lato"/>
                <w:szCs w:val="22"/>
                <w:lang w:val="en-IE"/>
              </w:rPr>
              <w:t>appointed to provide investment management or advisory services to the Qualifying Investor AIF, where the employee:</w:t>
            </w:r>
          </w:p>
        </w:tc>
        <w:tc>
          <w:tcPr>
            <w:tcW w:w="1259" w:type="dxa"/>
            <w:gridSpan w:val="3"/>
            <w:tcBorders>
              <w:top w:val="single" w:sz="4" w:space="0" w:color="auto"/>
              <w:left w:val="nil"/>
              <w:bottom w:val="single" w:sz="4" w:space="0" w:color="auto"/>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single" w:sz="4" w:space="0" w:color="auto"/>
            </w:tcBorders>
          </w:tcPr>
          <w:p w:rsidR="00345E65" w:rsidRPr="001D39EA" w:rsidRDefault="00345E65" w:rsidP="00996DF0">
            <w:pPr>
              <w:numPr>
                <w:ilvl w:val="0"/>
                <w:numId w:val="24"/>
              </w:numPr>
              <w:spacing w:line="240" w:lineRule="auto"/>
              <w:rPr>
                <w:rFonts w:ascii="Lato" w:hAnsi="Lato"/>
                <w:szCs w:val="22"/>
                <w:lang w:val="en-IE"/>
              </w:rPr>
            </w:pPr>
            <w:r w:rsidRPr="001D39EA">
              <w:rPr>
                <w:rFonts w:ascii="Lato" w:hAnsi="Lato"/>
                <w:szCs w:val="22"/>
                <w:lang w:val="en-IE"/>
              </w:rPr>
              <w:t>is directly involved in the investment activities of the Qualifying Investor AIF, or</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single" w:sz="4" w:space="0" w:color="auto"/>
            </w:tcBorders>
          </w:tcPr>
          <w:p w:rsidR="00345E65" w:rsidRPr="001D39EA" w:rsidRDefault="00345E65" w:rsidP="00996DF0">
            <w:pPr>
              <w:pStyle w:val="BodyTextIndent"/>
              <w:numPr>
                <w:ilvl w:val="0"/>
                <w:numId w:val="24"/>
              </w:numPr>
              <w:tabs>
                <w:tab w:val="left" w:pos="-2520"/>
              </w:tabs>
              <w:jc w:val="both"/>
              <w:rPr>
                <w:rFonts w:ascii="Lato" w:hAnsi="Lato"/>
                <w:b w:val="0"/>
                <w:bCs w:val="0"/>
                <w:sz w:val="22"/>
                <w:szCs w:val="22"/>
              </w:rPr>
            </w:pPr>
            <w:r w:rsidRPr="001D39EA">
              <w:rPr>
                <w:rFonts w:ascii="Lato" w:hAnsi="Lato"/>
                <w:b w:val="0"/>
                <w:bCs w:val="0"/>
                <w:sz w:val="22"/>
                <w:szCs w:val="22"/>
              </w:rPr>
              <w:t xml:space="preserve">is a senior employee of the company and has experience </w:t>
            </w:r>
            <w:r w:rsidRPr="001D39EA">
              <w:rPr>
                <w:rFonts w:ascii="Lato" w:hAnsi="Lato"/>
                <w:b w:val="0"/>
                <w:sz w:val="22"/>
                <w:szCs w:val="22"/>
              </w:rPr>
              <w:t>in the provision</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ind w:left="724"/>
              <w:rPr>
                <w:rFonts w:ascii="Lato" w:hAnsi="Lato"/>
                <w:szCs w:val="22"/>
                <w:lang w:val="en-IE"/>
              </w:rPr>
            </w:pPr>
            <w:r w:rsidRPr="001D39EA">
              <w:rPr>
                <w:rFonts w:ascii="Lato" w:hAnsi="Lato"/>
                <w:szCs w:val="22"/>
                <w:lang w:val="en-IE"/>
              </w:rPr>
              <w:t>of investment management services.</w:t>
            </w:r>
          </w:p>
        </w:tc>
        <w:tc>
          <w:tcPr>
            <w:tcW w:w="1259" w:type="dxa"/>
            <w:gridSpan w:val="3"/>
            <w:tcBorders>
              <w:top w:val="single" w:sz="4" w:space="0" w:color="auto"/>
              <w:left w:val="nil"/>
              <w:bottom w:val="nil"/>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r w:rsidRPr="001D39EA">
              <w:rPr>
                <w:rFonts w:ascii="Lato" w:hAnsi="Lato"/>
                <w:szCs w:val="22"/>
                <w:lang w:val="en-IE"/>
              </w:rPr>
              <w:t>d)</w:t>
            </w:r>
          </w:p>
        </w:tc>
        <w:tc>
          <w:tcPr>
            <w:tcW w:w="8333" w:type="dxa"/>
            <w:gridSpan w:val="2"/>
            <w:tcBorders>
              <w:top w:val="nil"/>
              <w:left w:val="nil"/>
              <w:bottom w:val="nil"/>
              <w:right w:val="single" w:sz="4" w:space="0" w:color="auto"/>
            </w:tcBorders>
          </w:tcPr>
          <w:p w:rsidR="00345E65" w:rsidRPr="001D39EA" w:rsidRDefault="00345E65" w:rsidP="001B7AAB">
            <w:pPr>
              <w:spacing w:line="240" w:lineRule="auto"/>
              <w:jc w:val="both"/>
              <w:rPr>
                <w:rFonts w:ascii="Lato" w:hAnsi="Lato"/>
                <w:szCs w:val="22"/>
                <w:lang w:val="en-IE"/>
              </w:rPr>
            </w:pPr>
            <w:r w:rsidRPr="001D39EA">
              <w:rPr>
                <w:rFonts w:ascii="Lato" w:hAnsi="Lato"/>
                <w:szCs w:val="22"/>
                <w:lang w:val="en-IE"/>
              </w:rPr>
              <w:t>In the case of an employee, the management company</w:t>
            </w:r>
            <w:r w:rsidR="001B7AAB" w:rsidRPr="001D39EA">
              <w:rPr>
                <w:rFonts w:ascii="Lato" w:hAnsi="Lato"/>
                <w:szCs w:val="22"/>
                <w:lang w:val="en-IE"/>
              </w:rPr>
              <w:t xml:space="preserve"> or</w:t>
            </w:r>
            <w:r w:rsidRPr="001D39EA">
              <w:rPr>
                <w:rFonts w:ascii="Lato" w:hAnsi="Lato"/>
                <w:szCs w:val="22"/>
                <w:lang w:val="en-IE"/>
              </w:rPr>
              <w:t xml:space="preserve"> </w:t>
            </w:r>
            <w:r w:rsidR="00872757" w:rsidRPr="001D39EA">
              <w:rPr>
                <w:rFonts w:ascii="Lato" w:hAnsi="Lato"/>
                <w:szCs w:val="22"/>
                <w:lang w:val="en-IE"/>
              </w:rPr>
              <w:t>ICAV</w:t>
            </w:r>
            <w:r w:rsidRPr="001D39EA">
              <w:rPr>
                <w:rFonts w:ascii="Lato" w:hAnsi="Lato"/>
                <w:szCs w:val="22"/>
                <w:lang w:val="en-IE"/>
              </w:rPr>
              <w:t xml:space="preserve"> </w:t>
            </w:r>
            <w:r w:rsidR="001B7AAB" w:rsidRPr="001D39EA">
              <w:rPr>
                <w:rFonts w:ascii="Lato" w:hAnsi="Lato"/>
                <w:szCs w:val="22"/>
                <w:lang w:val="en-IE"/>
              </w:rPr>
              <w:t>as appropriate, must</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1B7AAB">
            <w:pPr>
              <w:spacing w:line="240" w:lineRule="auto"/>
              <w:jc w:val="both"/>
              <w:rPr>
                <w:rFonts w:ascii="Lato" w:hAnsi="Lato"/>
                <w:szCs w:val="22"/>
                <w:lang w:val="en-IE"/>
              </w:rPr>
            </w:pPr>
            <w:r w:rsidRPr="001D39EA">
              <w:rPr>
                <w:rFonts w:ascii="Lato" w:hAnsi="Lato"/>
                <w:szCs w:val="22"/>
                <w:lang w:val="en-IE"/>
              </w:rPr>
              <w:t>be satisfied that prospective investors fall within the criteria outlined at (a)(iv) above. The investing employees must certify to the Qualifying Investor AIF that they are availing of the exemption provided for in this paragraph and that they are aware that the Qualifying Investor AIF is normally marketed solely to qualifying investors who are subject to a minimum subscription of €100,000.</w:t>
            </w:r>
          </w:p>
        </w:tc>
        <w:tc>
          <w:tcPr>
            <w:tcW w:w="1259" w:type="dxa"/>
            <w:gridSpan w:val="3"/>
            <w:tcBorders>
              <w:top w:val="single" w:sz="4" w:space="0" w:color="auto"/>
              <w:left w:val="nil"/>
              <w:bottom w:val="nil"/>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p>
        </w:tc>
        <w:tc>
          <w:tcPr>
            <w:tcW w:w="1259" w:type="dxa"/>
            <w:gridSpan w:val="3"/>
            <w:tcBorders>
              <w:top w:val="nil"/>
              <w:left w:val="nil"/>
              <w:bottom w:val="single" w:sz="4" w:space="0" w:color="auto"/>
              <w:right w:val="nil"/>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r w:rsidRPr="001D39EA">
              <w:rPr>
                <w:rFonts w:ascii="Lato" w:hAnsi="Lato"/>
                <w:szCs w:val="22"/>
                <w:lang w:val="en-IE"/>
              </w:rPr>
              <w:t>e)</w:t>
            </w:r>
          </w:p>
        </w:tc>
        <w:tc>
          <w:tcPr>
            <w:tcW w:w="8333" w:type="dxa"/>
            <w:gridSpan w:val="2"/>
            <w:tcBorders>
              <w:top w:val="nil"/>
              <w:left w:val="nil"/>
              <w:bottom w:val="nil"/>
              <w:right w:val="single" w:sz="4" w:space="0" w:color="auto"/>
            </w:tcBorders>
          </w:tcPr>
          <w:p w:rsidR="00345E65" w:rsidRPr="001D39EA" w:rsidRDefault="00345E65" w:rsidP="00996DF0">
            <w:pPr>
              <w:spacing w:line="240" w:lineRule="auto"/>
              <w:jc w:val="both"/>
              <w:rPr>
                <w:rFonts w:ascii="Lato" w:hAnsi="Lato"/>
                <w:szCs w:val="22"/>
                <w:lang w:val="en-IE"/>
              </w:rPr>
            </w:pPr>
            <w:r w:rsidRPr="001D39EA">
              <w:rPr>
                <w:rFonts w:ascii="Lato" w:hAnsi="Lato"/>
                <w:szCs w:val="22"/>
                <w:lang w:val="en-IE"/>
              </w:rPr>
              <w:t>Unitholders must certify in writing to the Qualifying Investor AIF,</w:t>
            </w:r>
            <w:r w:rsidR="001B7AAB" w:rsidRPr="001D39EA">
              <w:rPr>
                <w:rFonts w:ascii="Lato" w:hAnsi="Lato"/>
                <w:szCs w:val="22"/>
                <w:lang w:val="en-IE"/>
              </w:rPr>
              <w:t xml:space="preserve"> that they are an</w:t>
            </w:r>
          </w:p>
        </w:tc>
        <w:tc>
          <w:tcPr>
            <w:tcW w:w="1259" w:type="dxa"/>
            <w:gridSpan w:val="3"/>
            <w:tcBorders>
              <w:top w:val="single" w:sz="4" w:space="0" w:color="auto"/>
              <w:left w:val="single" w:sz="4" w:space="0" w:color="auto"/>
              <w:bottom w:val="single" w:sz="4" w:space="0" w:color="auto"/>
              <w:right w:val="single" w:sz="4" w:space="0" w:color="auto"/>
            </w:tcBorders>
          </w:tcPr>
          <w:p w:rsidR="00345E65" w:rsidRPr="001D39EA" w:rsidRDefault="00345E65" w:rsidP="00996DF0">
            <w:pPr>
              <w:spacing w:line="240" w:lineRule="auto"/>
              <w:rPr>
                <w:rFonts w:ascii="Lato" w:hAnsi="Lato"/>
                <w:szCs w:val="22"/>
                <w:lang w:val="en-IE"/>
              </w:rPr>
            </w:pPr>
          </w:p>
        </w:tc>
      </w:tr>
      <w:tr w:rsidR="00345E65" w:rsidRPr="00DC0539" w:rsidTr="0034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55" w:type="dxa"/>
        </w:trPr>
        <w:tc>
          <w:tcPr>
            <w:tcW w:w="986" w:type="dxa"/>
            <w:gridSpan w:val="3"/>
            <w:tcBorders>
              <w:top w:val="nil"/>
              <w:left w:val="nil"/>
              <w:bottom w:val="nil"/>
              <w:right w:val="nil"/>
            </w:tcBorders>
          </w:tcPr>
          <w:p w:rsidR="00345E65" w:rsidRPr="001D39EA" w:rsidRDefault="00345E65" w:rsidP="00996DF0">
            <w:pPr>
              <w:spacing w:line="240" w:lineRule="auto"/>
              <w:jc w:val="right"/>
              <w:rPr>
                <w:rFonts w:ascii="Lato" w:hAnsi="Lato"/>
                <w:szCs w:val="22"/>
                <w:lang w:val="en-IE"/>
              </w:rPr>
            </w:pPr>
          </w:p>
        </w:tc>
        <w:tc>
          <w:tcPr>
            <w:tcW w:w="8333" w:type="dxa"/>
            <w:gridSpan w:val="2"/>
            <w:tcBorders>
              <w:top w:val="nil"/>
              <w:left w:val="nil"/>
              <w:bottom w:val="nil"/>
              <w:right w:val="nil"/>
            </w:tcBorders>
          </w:tcPr>
          <w:p w:rsidR="00345E65" w:rsidRPr="001D39EA" w:rsidRDefault="00345E65" w:rsidP="00996DF0">
            <w:pPr>
              <w:spacing w:line="240" w:lineRule="auto"/>
              <w:jc w:val="both"/>
              <w:rPr>
                <w:rFonts w:ascii="Lato" w:hAnsi="Lato"/>
                <w:szCs w:val="22"/>
                <w:lang w:val="en-IE"/>
              </w:rPr>
            </w:pPr>
            <w:r w:rsidRPr="001D39EA">
              <w:rPr>
                <w:rFonts w:ascii="Lato" w:hAnsi="Lato"/>
                <w:szCs w:val="22"/>
                <w:lang w:val="en-IE"/>
              </w:rPr>
              <w:t>investor who is a professional client within the meaning of Annex II of Directive 2004/39/EC (Markets in Financial Instruments Directive) and that they are aware of the risk involved in the proposed investment and of the fact that inherent in such investments is the potential to lose all of the sum invested.</w:t>
            </w:r>
          </w:p>
        </w:tc>
        <w:tc>
          <w:tcPr>
            <w:tcW w:w="1259" w:type="dxa"/>
            <w:gridSpan w:val="3"/>
            <w:tcBorders>
              <w:top w:val="single" w:sz="4" w:space="0" w:color="auto"/>
              <w:left w:val="nil"/>
              <w:bottom w:val="nil"/>
              <w:right w:val="nil"/>
            </w:tcBorders>
          </w:tcPr>
          <w:p w:rsidR="00345E65" w:rsidRPr="001D39EA" w:rsidRDefault="00345E65" w:rsidP="00996DF0">
            <w:pPr>
              <w:spacing w:line="240" w:lineRule="auto"/>
              <w:rPr>
                <w:rFonts w:ascii="Lato" w:hAnsi="Lato"/>
                <w:szCs w:val="22"/>
                <w:lang w:val="en-IE"/>
              </w:rPr>
            </w:pPr>
          </w:p>
        </w:tc>
      </w:tr>
    </w:tbl>
    <w:p w:rsidR="00F950B2" w:rsidRPr="001D39EA" w:rsidRDefault="00F950B2">
      <w:pPr>
        <w:spacing w:line="240" w:lineRule="auto"/>
        <w:rPr>
          <w:rFonts w:ascii="Lato" w:hAnsi="Lato"/>
          <w:szCs w:val="22"/>
          <w:lang w:val="en-IE"/>
        </w:rPr>
        <w:sectPr w:rsidR="00F950B2" w:rsidRPr="001D39EA">
          <w:headerReference w:type="default" r:id="rId16"/>
          <w:footerReference w:type="default" r:id="rId17"/>
          <w:pgSz w:w="11904" w:h="16834"/>
          <w:pgMar w:top="851" w:right="1800" w:bottom="1440" w:left="1800" w:header="142" w:footer="266" w:gutter="0"/>
          <w:cols w:space="708"/>
        </w:sectPr>
      </w:pPr>
    </w:p>
    <w:tbl>
      <w:tblPr>
        <w:tblW w:w="10578"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8334"/>
        <w:gridCol w:w="1258"/>
      </w:tblGrid>
      <w:tr w:rsidR="006F7FBF" w:rsidRPr="00DC0539" w:rsidTr="007D343A">
        <w:tc>
          <w:tcPr>
            <w:tcW w:w="986" w:type="dxa"/>
            <w:tcBorders>
              <w:top w:val="nil"/>
              <w:left w:val="nil"/>
              <w:bottom w:val="nil"/>
              <w:right w:val="nil"/>
            </w:tcBorders>
          </w:tcPr>
          <w:p w:rsidR="006F7FBF" w:rsidRPr="001D39EA" w:rsidRDefault="006F7FBF" w:rsidP="006F7FBF">
            <w:pPr>
              <w:spacing w:line="240" w:lineRule="auto"/>
              <w:jc w:val="right"/>
              <w:rPr>
                <w:rFonts w:ascii="Lato" w:hAnsi="Lato"/>
                <w:szCs w:val="22"/>
                <w:lang w:val="en-IE"/>
              </w:rPr>
            </w:pPr>
          </w:p>
        </w:tc>
        <w:tc>
          <w:tcPr>
            <w:tcW w:w="8334" w:type="dxa"/>
            <w:tcBorders>
              <w:top w:val="nil"/>
              <w:left w:val="nil"/>
              <w:bottom w:val="nil"/>
              <w:right w:val="nil"/>
            </w:tcBorders>
          </w:tcPr>
          <w:p w:rsidR="006F7FBF" w:rsidRPr="001D39EA" w:rsidRDefault="006F7FBF" w:rsidP="006F7FBF">
            <w:pPr>
              <w:spacing w:line="240" w:lineRule="auto"/>
              <w:jc w:val="both"/>
              <w:rPr>
                <w:rFonts w:ascii="Lato" w:hAnsi="Lato"/>
                <w:szCs w:val="22"/>
                <w:lang w:val="en-IE"/>
              </w:rPr>
            </w:pPr>
          </w:p>
        </w:tc>
        <w:tc>
          <w:tcPr>
            <w:tcW w:w="1258" w:type="dxa"/>
            <w:tcBorders>
              <w:top w:val="nil"/>
              <w:left w:val="nil"/>
              <w:bottom w:val="single" w:sz="4" w:space="0" w:color="auto"/>
              <w:right w:val="nil"/>
            </w:tcBorders>
          </w:tcPr>
          <w:p w:rsidR="006F7FBF" w:rsidRPr="001D39EA" w:rsidRDefault="006F7FBF" w:rsidP="006F7FBF">
            <w:pPr>
              <w:spacing w:line="240" w:lineRule="auto"/>
              <w:rPr>
                <w:rFonts w:ascii="Lato" w:hAnsi="Lato"/>
                <w:szCs w:val="22"/>
                <w:lang w:val="en-IE"/>
              </w:rPr>
            </w:pPr>
          </w:p>
        </w:tc>
      </w:tr>
      <w:tr w:rsidR="002E43A1" w:rsidRPr="00DC0539" w:rsidTr="008C554D">
        <w:tc>
          <w:tcPr>
            <w:tcW w:w="986" w:type="dxa"/>
            <w:tcBorders>
              <w:top w:val="nil"/>
              <w:left w:val="nil"/>
              <w:bottom w:val="nil"/>
              <w:right w:val="single" w:sz="4" w:space="0" w:color="auto"/>
            </w:tcBorders>
          </w:tcPr>
          <w:p w:rsidR="002E43A1" w:rsidRPr="001D39EA" w:rsidRDefault="002E43A1" w:rsidP="00DF03AC">
            <w:pPr>
              <w:spacing w:line="240" w:lineRule="auto"/>
              <w:rPr>
                <w:rFonts w:ascii="Lato" w:hAnsi="Lato"/>
                <w:b/>
                <w:bCs/>
                <w:szCs w:val="22"/>
                <w:lang w:val="en-IE"/>
              </w:rPr>
            </w:pPr>
            <w:r w:rsidRPr="001D39EA">
              <w:rPr>
                <w:rFonts w:ascii="Lato" w:hAnsi="Lato"/>
                <w:b/>
                <w:bCs/>
                <w:szCs w:val="22"/>
                <w:lang w:val="en-IE"/>
              </w:rPr>
              <w:t>3.</w:t>
            </w:r>
            <w:r w:rsidR="00DF03AC" w:rsidRPr="001D39EA">
              <w:rPr>
                <w:rFonts w:ascii="Lato" w:hAnsi="Lato"/>
                <w:b/>
                <w:bCs/>
                <w:szCs w:val="22"/>
                <w:lang w:val="en-IE"/>
              </w:rPr>
              <w:t>17</w:t>
            </w:r>
          </w:p>
        </w:tc>
        <w:tc>
          <w:tcPr>
            <w:tcW w:w="8334" w:type="dxa"/>
            <w:tcBorders>
              <w:top w:val="single" w:sz="4" w:space="0" w:color="auto"/>
              <w:left w:val="single" w:sz="4" w:space="0" w:color="auto"/>
              <w:bottom w:val="single" w:sz="4" w:space="0" w:color="auto"/>
              <w:right w:val="single" w:sz="4" w:space="0" w:color="auto"/>
            </w:tcBorders>
          </w:tcPr>
          <w:p w:rsidR="002E43A1" w:rsidRPr="001D39EA" w:rsidRDefault="002E43A1">
            <w:pPr>
              <w:pStyle w:val="BodyTextIndent"/>
              <w:ind w:left="-5"/>
              <w:jc w:val="both"/>
              <w:rPr>
                <w:rFonts w:ascii="Lato" w:hAnsi="Lato"/>
                <w:sz w:val="22"/>
                <w:szCs w:val="22"/>
              </w:rPr>
            </w:pPr>
            <w:r w:rsidRPr="001D39EA">
              <w:rPr>
                <w:rFonts w:ascii="Lato" w:hAnsi="Lato"/>
                <w:sz w:val="22"/>
                <w:szCs w:val="22"/>
              </w:rPr>
              <w:t xml:space="preserve">Closed-ended </w:t>
            </w:r>
            <w:r w:rsidR="00F54A55" w:rsidRPr="001D39EA">
              <w:rPr>
                <w:rFonts w:ascii="Lato" w:hAnsi="Lato"/>
                <w:sz w:val="22"/>
                <w:szCs w:val="22"/>
              </w:rPr>
              <w:t>Q</w:t>
            </w:r>
            <w:r w:rsidR="008C0F34" w:rsidRPr="001D39EA">
              <w:rPr>
                <w:rFonts w:ascii="Lato" w:hAnsi="Lato"/>
                <w:sz w:val="22"/>
                <w:szCs w:val="22"/>
              </w:rPr>
              <w:t xml:space="preserve">ualifying </w:t>
            </w:r>
            <w:r w:rsidR="00F54A55" w:rsidRPr="001D39EA">
              <w:rPr>
                <w:rFonts w:ascii="Lato" w:hAnsi="Lato"/>
                <w:sz w:val="22"/>
                <w:szCs w:val="22"/>
              </w:rPr>
              <w:t>I</w:t>
            </w:r>
            <w:r w:rsidR="008C0F34" w:rsidRPr="001D39EA">
              <w:rPr>
                <w:rFonts w:ascii="Lato" w:hAnsi="Lato"/>
                <w:sz w:val="22"/>
                <w:szCs w:val="22"/>
              </w:rPr>
              <w:t xml:space="preserve">nvestor </w:t>
            </w:r>
            <w:r w:rsidR="00F54A55" w:rsidRPr="001D39EA">
              <w:rPr>
                <w:rFonts w:ascii="Lato" w:hAnsi="Lato"/>
                <w:sz w:val="22"/>
                <w:szCs w:val="22"/>
              </w:rPr>
              <w:t>AIF</w:t>
            </w:r>
          </w:p>
        </w:tc>
        <w:tc>
          <w:tcPr>
            <w:tcW w:w="1258" w:type="dxa"/>
            <w:tcBorders>
              <w:top w:val="nil"/>
              <w:left w:val="single" w:sz="4" w:space="0" w:color="auto"/>
              <w:bottom w:val="nil"/>
              <w:right w:val="nil"/>
            </w:tcBorders>
          </w:tcPr>
          <w:p w:rsidR="002E43A1" w:rsidRPr="001D39EA" w:rsidRDefault="002E43A1">
            <w:pPr>
              <w:spacing w:line="240" w:lineRule="auto"/>
              <w:rPr>
                <w:rFonts w:ascii="Lato" w:hAnsi="Lato"/>
                <w:szCs w:val="22"/>
                <w:lang w:val="en-IE"/>
              </w:rPr>
            </w:pPr>
          </w:p>
        </w:tc>
      </w:tr>
      <w:tr w:rsidR="002E43A1" w:rsidRPr="00DC0539" w:rsidTr="005A060C">
        <w:tc>
          <w:tcPr>
            <w:tcW w:w="986" w:type="dxa"/>
            <w:tcBorders>
              <w:top w:val="nil"/>
              <w:left w:val="nil"/>
              <w:bottom w:val="nil"/>
              <w:right w:val="nil"/>
            </w:tcBorders>
          </w:tcPr>
          <w:p w:rsidR="002E43A1" w:rsidRPr="001D39EA" w:rsidRDefault="002E43A1">
            <w:pPr>
              <w:spacing w:line="240" w:lineRule="auto"/>
              <w:rPr>
                <w:rFonts w:ascii="Lato" w:hAnsi="Lato"/>
                <w:szCs w:val="22"/>
                <w:lang w:val="en-IE"/>
              </w:rPr>
            </w:pPr>
          </w:p>
        </w:tc>
        <w:tc>
          <w:tcPr>
            <w:tcW w:w="8334" w:type="dxa"/>
            <w:tcBorders>
              <w:top w:val="single" w:sz="4" w:space="0" w:color="auto"/>
              <w:left w:val="nil"/>
              <w:bottom w:val="nil"/>
              <w:right w:val="nil"/>
            </w:tcBorders>
          </w:tcPr>
          <w:p w:rsidR="002E43A1" w:rsidRPr="001D39EA" w:rsidRDefault="002E43A1">
            <w:pPr>
              <w:pStyle w:val="BodyTextIndent"/>
              <w:ind w:left="-5"/>
              <w:jc w:val="both"/>
              <w:rPr>
                <w:rFonts w:ascii="Lato" w:hAnsi="Lato"/>
                <w:b w:val="0"/>
                <w:bCs w:val="0"/>
                <w:sz w:val="22"/>
                <w:szCs w:val="22"/>
              </w:rPr>
            </w:pPr>
          </w:p>
        </w:tc>
        <w:tc>
          <w:tcPr>
            <w:tcW w:w="1258" w:type="dxa"/>
            <w:tcBorders>
              <w:top w:val="nil"/>
              <w:left w:val="nil"/>
              <w:bottom w:val="nil"/>
              <w:right w:val="nil"/>
            </w:tcBorders>
          </w:tcPr>
          <w:p w:rsidR="002E43A1" w:rsidRPr="001D39EA" w:rsidRDefault="002E43A1">
            <w:pPr>
              <w:spacing w:line="240" w:lineRule="auto"/>
              <w:rPr>
                <w:rFonts w:ascii="Lato" w:hAnsi="Lato"/>
                <w:szCs w:val="22"/>
                <w:lang w:val="en-IE"/>
              </w:rPr>
            </w:pPr>
          </w:p>
        </w:tc>
      </w:tr>
      <w:tr w:rsidR="002E43A1" w:rsidRPr="00DC0539" w:rsidTr="001D7EC1">
        <w:tc>
          <w:tcPr>
            <w:tcW w:w="986" w:type="dxa"/>
            <w:tcBorders>
              <w:top w:val="nil"/>
              <w:left w:val="nil"/>
              <w:bottom w:val="nil"/>
              <w:right w:val="nil"/>
            </w:tcBorders>
          </w:tcPr>
          <w:p w:rsidR="002E43A1" w:rsidRPr="001D39EA" w:rsidRDefault="002E43A1" w:rsidP="00DF03AC">
            <w:pPr>
              <w:spacing w:line="240" w:lineRule="auto"/>
              <w:rPr>
                <w:rFonts w:ascii="Lato" w:hAnsi="Lato"/>
                <w:szCs w:val="22"/>
                <w:lang w:val="en-IE"/>
              </w:rPr>
            </w:pPr>
            <w:r w:rsidRPr="001D39EA">
              <w:rPr>
                <w:rFonts w:ascii="Lato" w:hAnsi="Lato"/>
                <w:szCs w:val="22"/>
                <w:lang w:val="en-IE"/>
              </w:rPr>
              <w:t>3.</w:t>
            </w:r>
            <w:r w:rsidR="00DF03AC" w:rsidRPr="001D39EA">
              <w:rPr>
                <w:rFonts w:ascii="Lato" w:hAnsi="Lato"/>
                <w:szCs w:val="22"/>
                <w:lang w:val="en-IE"/>
              </w:rPr>
              <w:t>17</w:t>
            </w:r>
            <w:r w:rsidRPr="001D39EA">
              <w:rPr>
                <w:rFonts w:ascii="Lato" w:hAnsi="Lato"/>
                <w:szCs w:val="22"/>
                <w:lang w:val="en-IE"/>
              </w:rPr>
              <w:t>.</w:t>
            </w:r>
            <w:r w:rsidR="007D36A3" w:rsidRPr="001D39EA">
              <w:rPr>
                <w:rFonts w:ascii="Lato" w:hAnsi="Lato"/>
                <w:szCs w:val="22"/>
                <w:lang w:val="en-IE"/>
              </w:rPr>
              <w:t>1</w:t>
            </w:r>
          </w:p>
        </w:tc>
        <w:tc>
          <w:tcPr>
            <w:tcW w:w="8334" w:type="dxa"/>
            <w:tcBorders>
              <w:top w:val="nil"/>
              <w:left w:val="nil"/>
              <w:bottom w:val="nil"/>
              <w:right w:val="nil"/>
            </w:tcBorders>
          </w:tcPr>
          <w:p w:rsidR="002E43A1" w:rsidRPr="001D39EA" w:rsidRDefault="002E43A1" w:rsidP="009C0102">
            <w:pPr>
              <w:pStyle w:val="BodyTextIndent"/>
              <w:ind w:left="-5"/>
              <w:jc w:val="both"/>
              <w:rPr>
                <w:rFonts w:ascii="Lato" w:hAnsi="Lato"/>
                <w:b w:val="0"/>
                <w:bCs w:val="0"/>
                <w:sz w:val="22"/>
                <w:szCs w:val="22"/>
              </w:rPr>
            </w:pPr>
            <w:r w:rsidRPr="001D39EA">
              <w:rPr>
                <w:rFonts w:ascii="Lato" w:hAnsi="Lato"/>
                <w:b w:val="0"/>
                <w:bCs w:val="0"/>
                <w:sz w:val="22"/>
                <w:szCs w:val="22"/>
              </w:rPr>
              <w:t>Provide that at the end of the specified duration</w:t>
            </w:r>
            <w:r w:rsidR="00716D3B" w:rsidRPr="001D39EA">
              <w:rPr>
                <w:rFonts w:ascii="Lato" w:hAnsi="Lato"/>
                <w:b w:val="0"/>
                <w:bCs w:val="0"/>
                <w:sz w:val="22"/>
                <w:szCs w:val="22"/>
              </w:rPr>
              <w:t xml:space="preserve"> as set out in the Prospectus,</w:t>
            </w:r>
            <w:r w:rsidRPr="001D39EA">
              <w:rPr>
                <w:rFonts w:ascii="Lato" w:hAnsi="Lato"/>
                <w:b w:val="0"/>
                <w:bCs w:val="0"/>
                <w:sz w:val="22"/>
                <w:szCs w:val="22"/>
              </w:rPr>
              <w:t xml:space="preserve"> the </w:t>
            </w:r>
            <w:r w:rsidR="00F54A55" w:rsidRPr="001D39EA">
              <w:rPr>
                <w:rFonts w:ascii="Lato" w:hAnsi="Lato"/>
                <w:b w:val="0"/>
                <w:bCs w:val="0"/>
                <w:sz w:val="22"/>
                <w:szCs w:val="22"/>
              </w:rPr>
              <w:t>Q</w:t>
            </w:r>
            <w:r w:rsidR="009C0102" w:rsidRPr="001D39EA">
              <w:rPr>
                <w:rFonts w:ascii="Lato" w:hAnsi="Lato"/>
                <w:b w:val="0"/>
                <w:bCs w:val="0"/>
                <w:sz w:val="22"/>
                <w:szCs w:val="22"/>
              </w:rPr>
              <w:t xml:space="preserve">ualifying Investor </w:t>
            </w:r>
            <w:r w:rsidR="00F54A55" w:rsidRPr="001D39EA">
              <w:rPr>
                <w:rFonts w:ascii="Lato" w:hAnsi="Lato"/>
                <w:b w:val="0"/>
                <w:bCs w:val="0"/>
                <w:sz w:val="22"/>
                <w:szCs w:val="22"/>
              </w:rPr>
              <w:t>AIF</w:t>
            </w:r>
            <w:r w:rsidRPr="001D39EA">
              <w:rPr>
                <w:rFonts w:ascii="Lato" w:hAnsi="Lato"/>
                <w:b w:val="0"/>
                <w:bCs w:val="0"/>
                <w:sz w:val="22"/>
                <w:szCs w:val="22"/>
              </w:rPr>
              <w:t xml:space="preserve"> will undertake one of the following </w:t>
            </w:r>
            <w:r w:rsidR="004C56CD" w:rsidRPr="001D39EA">
              <w:rPr>
                <w:rFonts w:ascii="Lato" w:hAnsi="Lato"/>
                <w:b w:val="0"/>
                <w:bCs w:val="0"/>
                <w:sz w:val="22"/>
                <w:szCs w:val="22"/>
              </w:rPr>
              <w:t>action</w:t>
            </w:r>
            <w:r w:rsidRPr="001D39EA">
              <w:rPr>
                <w:rFonts w:ascii="Lato" w:hAnsi="Lato"/>
                <w:b w:val="0"/>
                <w:bCs w:val="0"/>
                <w:sz w:val="22"/>
                <w:szCs w:val="22"/>
              </w:rPr>
              <w:t xml:space="preserve">(s): </w:t>
            </w:r>
          </w:p>
        </w:tc>
        <w:tc>
          <w:tcPr>
            <w:tcW w:w="1258" w:type="dxa"/>
            <w:tcBorders>
              <w:top w:val="nil"/>
              <w:left w:val="nil"/>
              <w:bottom w:val="single" w:sz="4" w:space="0" w:color="auto"/>
              <w:right w:val="nil"/>
            </w:tcBorders>
          </w:tcPr>
          <w:p w:rsidR="002E43A1" w:rsidRPr="001D39EA" w:rsidRDefault="002E43A1">
            <w:pPr>
              <w:spacing w:line="240" w:lineRule="auto"/>
              <w:rPr>
                <w:rFonts w:ascii="Lato" w:hAnsi="Lato"/>
                <w:szCs w:val="22"/>
                <w:lang w:val="en-IE"/>
              </w:rPr>
            </w:pPr>
          </w:p>
        </w:tc>
      </w:tr>
      <w:tr w:rsidR="002E43A1" w:rsidRPr="00DC0539" w:rsidTr="001D7EC1">
        <w:tc>
          <w:tcPr>
            <w:tcW w:w="986" w:type="dxa"/>
            <w:tcBorders>
              <w:top w:val="nil"/>
              <w:left w:val="nil"/>
              <w:bottom w:val="nil"/>
              <w:right w:val="nil"/>
            </w:tcBorders>
          </w:tcPr>
          <w:p w:rsidR="002E43A1" w:rsidRPr="001D39EA" w:rsidRDefault="002E43A1">
            <w:pPr>
              <w:spacing w:line="240" w:lineRule="auto"/>
              <w:jc w:val="right"/>
              <w:rPr>
                <w:rFonts w:ascii="Lato" w:hAnsi="Lato"/>
                <w:szCs w:val="22"/>
                <w:lang w:val="en-IE"/>
              </w:rPr>
            </w:pPr>
            <w:r w:rsidRPr="001D39EA">
              <w:rPr>
                <w:rFonts w:ascii="Lato" w:hAnsi="Lato"/>
                <w:szCs w:val="22"/>
                <w:lang w:val="en-IE"/>
              </w:rPr>
              <w:t xml:space="preserve">a) </w:t>
            </w:r>
          </w:p>
        </w:tc>
        <w:tc>
          <w:tcPr>
            <w:tcW w:w="8334" w:type="dxa"/>
            <w:tcBorders>
              <w:top w:val="nil"/>
              <w:left w:val="nil"/>
              <w:bottom w:val="nil"/>
              <w:right w:val="single" w:sz="4" w:space="0" w:color="auto"/>
            </w:tcBorders>
          </w:tcPr>
          <w:p w:rsidR="002E43A1" w:rsidRPr="001D39EA" w:rsidRDefault="002E43A1" w:rsidP="00E0118D">
            <w:pPr>
              <w:pStyle w:val="BodyTextIndent"/>
              <w:ind w:left="-5"/>
              <w:jc w:val="both"/>
              <w:rPr>
                <w:rFonts w:ascii="Lato" w:hAnsi="Lato"/>
                <w:b w:val="0"/>
                <w:bCs w:val="0"/>
                <w:sz w:val="22"/>
                <w:szCs w:val="22"/>
              </w:rPr>
            </w:pPr>
            <w:r w:rsidRPr="001D39EA">
              <w:rPr>
                <w:rFonts w:ascii="Lato" w:hAnsi="Lato"/>
                <w:b w:val="0"/>
                <w:bCs w:val="0"/>
                <w:sz w:val="22"/>
                <w:szCs w:val="22"/>
              </w:rPr>
              <w:t xml:space="preserve">Wind-up and apply to the </w:t>
            </w:r>
            <w:r w:rsidRPr="001D39EA">
              <w:rPr>
                <w:rFonts w:ascii="Lato" w:hAnsi="Lato"/>
                <w:b w:val="0"/>
                <w:sz w:val="22"/>
                <w:szCs w:val="22"/>
              </w:rPr>
              <w:t>Central Bank</w:t>
            </w:r>
            <w:r w:rsidRPr="001D39EA">
              <w:rPr>
                <w:rFonts w:ascii="Lato" w:hAnsi="Lato"/>
                <w:sz w:val="22"/>
                <w:szCs w:val="22"/>
              </w:rPr>
              <w:t xml:space="preserve"> </w:t>
            </w:r>
            <w:r w:rsidRPr="001D39EA">
              <w:rPr>
                <w:rFonts w:ascii="Lato" w:hAnsi="Lato"/>
                <w:b w:val="0"/>
                <w:bCs w:val="0"/>
                <w:sz w:val="22"/>
                <w:szCs w:val="22"/>
              </w:rPr>
              <w:t xml:space="preserve">for a revocation of </w:t>
            </w:r>
            <w:r w:rsidR="00AC41AF" w:rsidRPr="001D39EA">
              <w:rPr>
                <w:rFonts w:ascii="Lato" w:hAnsi="Lato"/>
                <w:b w:val="0"/>
                <w:bCs w:val="0"/>
                <w:sz w:val="22"/>
                <w:szCs w:val="22"/>
              </w:rPr>
              <w:t xml:space="preserve">the </w:t>
            </w:r>
            <w:r w:rsidR="00E0118D" w:rsidRPr="001D39EA">
              <w:rPr>
                <w:rFonts w:ascii="Lato" w:hAnsi="Lato"/>
                <w:b w:val="0"/>
                <w:bCs w:val="0"/>
                <w:sz w:val="22"/>
                <w:szCs w:val="22"/>
              </w:rPr>
              <w:t>Qualifying</w:t>
            </w:r>
          </w:p>
        </w:tc>
        <w:tc>
          <w:tcPr>
            <w:tcW w:w="1258" w:type="dxa"/>
            <w:tcBorders>
              <w:top w:val="single" w:sz="4" w:space="0" w:color="auto"/>
              <w:left w:val="single" w:sz="4" w:space="0" w:color="auto"/>
              <w:bottom w:val="single" w:sz="4" w:space="0" w:color="auto"/>
              <w:right w:val="single" w:sz="4" w:space="0" w:color="auto"/>
            </w:tcBorders>
          </w:tcPr>
          <w:p w:rsidR="002E43A1" w:rsidRPr="001D39EA" w:rsidRDefault="002E43A1">
            <w:pPr>
              <w:spacing w:line="240" w:lineRule="auto"/>
              <w:rPr>
                <w:rFonts w:ascii="Lato" w:hAnsi="Lato"/>
                <w:szCs w:val="22"/>
                <w:lang w:val="en-IE"/>
              </w:rPr>
            </w:pPr>
          </w:p>
        </w:tc>
      </w:tr>
      <w:tr w:rsidR="002E43A1" w:rsidRPr="00DC0539" w:rsidTr="001D7EC1">
        <w:trPr>
          <w:cantSplit/>
          <w:trHeight w:val="255"/>
        </w:trPr>
        <w:tc>
          <w:tcPr>
            <w:tcW w:w="986" w:type="dxa"/>
            <w:tcBorders>
              <w:top w:val="nil"/>
              <w:left w:val="nil"/>
              <w:bottom w:val="nil"/>
              <w:right w:val="nil"/>
            </w:tcBorders>
          </w:tcPr>
          <w:p w:rsidR="002E43A1" w:rsidRPr="001D39EA" w:rsidRDefault="002E43A1">
            <w:pPr>
              <w:spacing w:line="240" w:lineRule="auto"/>
              <w:jc w:val="right"/>
              <w:rPr>
                <w:rFonts w:ascii="Lato" w:hAnsi="Lato"/>
                <w:szCs w:val="22"/>
                <w:lang w:val="en-IE"/>
              </w:rPr>
            </w:pPr>
          </w:p>
        </w:tc>
        <w:tc>
          <w:tcPr>
            <w:tcW w:w="8334" w:type="dxa"/>
            <w:tcBorders>
              <w:top w:val="nil"/>
              <w:left w:val="nil"/>
              <w:bottom w:val="nil"/>
              <w:right w:val="nil"/>
            </w:tcBorders>
          </w:tcPr>
          <w:p w:rsidR="002E43A1" w:rsidRPr="001D39EA" w:rsidRDefault="00E0118D">
            <w:pPr>
              <w:pStyle w:val="BodyTextIndent"/>
              <w:ind w:left="-5"/>
              <w:jc w:val="both"/>
              <w:rPr>
                <w:rFonts w:ascii="Lato" w:hAnsi="Lato"/>
                <w:b w:val="0"/>
                <w:bCs w:val="0"/>
                <w:sz w:val="22"/>
                <w:szCs w:val="22"/>
              </w:rPr>
            </w:pPr>
            <w:r w:rsidRPr="001D39EA">
              <w:rPr>
                <w:rFonts w:ascii="Lato" w:hAnsi="Lato"/>
                <w:b w:val="0"/>
                <w:bCs w:val="0"/>
                <w:sz w:val="22"/>
                <w:szCs w:val="22"/>
              </w:rPr>
              <w:t>Investor AIF authorisation;</w:t>
            </w:r>
          </w:p>
        </w:tc>
        <w:tc>
          <w:tcPr>
            <w:tcW w:w="1258" w:type="dxa"/>
            <w:tcBorders>
              <w:top w:val="single" w:sz="4" w:space="0" w:color="auto"/>
              <w:left w:val="nil"/>
              <w:bottom w:val="nil"/>
              <w:right w:val="nil"/>
            </w:tcBorders>
          </w:tcPr>
          <w:p w:rsidR="002E43A1" w:rsidRPr="001D39EA" w:rsidRDefault="002E43A1">
            <w:pPr>
              <w:spacing w:line="240" w:lineRule="auto"/>
              <w:rPr>
                <w:rFonts w:ascii="Lato" w:hAnsi="Lato"/>
                <w:szCs w:val="22"/>
                <w:lang w:val="en-IE"/>
              </w:rPr>
            </w:pPr>
          </w:p>
        </w:tc>
      </w:tr>
      <w:tr w:rsidR="00E0118D" w:rsidRPr="00DC0539" w:rsidTr="008D6825">
        <w:trPr>
          <w:cantSplit/>
          <w:trHeight w:val="255"/>
        </w:trPr>
        <w:tc>
          <w:tcPr>
            <w:tcW w:w="986" w:type="dxa"/>
            <w:tcBorders>
              <w:top w:val="nil"/>
              <w:left w:val="nil"/>
              <w:bottom w:val="nil"/>
              <w:right w:val="nil"/>
            </w:tcBorders>
          </w:tcPr>
          <w:p w:rsidR="00E0118D" w:rsidRPr="001D39EA" w:rsidRDefault="00E0118D">
            <w:pPr>
              <w:spacing w:line="240" w:lineRule="auto"/>
              <w:jc w:val="right"/>
              <w:rPr>
                <w:rFonts w:ascii="Lato" w:hAnsi="Lato"/>
                <w:szCs w:val="22"/>
                <w:lang w:val="en-IE"/>
              </w:rPr>
            </w:pPr>
          </w:p>
        </w:tc>
        <w:tc>
          <w:tcPr>
            <w:tcW w:w="8334" w:type="dxa"/>
            <w:tcBorders>
              <w:top w:val="nil"/>
              <w:left w:val="nil"/>
              <w:bottom w:val="nil"/>
              <w:right w:val="nil"/>
            </w:tcBorders>
          </w:tcPr>
          <w:p w:rsidR="00E0118D" w:rsidRPr="001D39EA" w:rsidRDefault="00E0118D">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E0118D" w:rsidRPr="001D39EA" w:rsidRDefault="00E0118D">
            <w:pPr>
              <w:spacing w:line="240" w:lineRule="auto"/>
              <w:rPr>
                <w:rFonts w:ascii="Lato" w:hAnsi="Lato"/>
                <w:szCs w:val="22"/>
                <w:lang w:val="en-IE"/>
              </w:rPr>
            </w:pPr>
          </w:p>
        </w:tc>
      </w:tr>
      <w:tr w:rsidR="002E43A1" w:rsidRPr="00DC0539" w:rsidTr="008D6825">
        <w:trPr>
          <w:cantSplit/>
          <w:trHeight w:val="255"/>
        </w:trPr>
        <w:tc>
          <w:tcPr>
            <w:tcW w:w="986" w:type="dxa"/>
            <w:vMerge w:val="restart"/>
            <w:tcBorders>
              <w:top w:val="nil"/>
              <w:left w:val="nil"/>
              <w:right w:val="nil"/>
            </w:tcBorders>
          </w:tcPr>
          <w:p w:rsidR="002E43A1" w:rsidRPr="001D39EA" w:rsidRDefault="002E43A1">
            <w:pPr>
              <w:spacing w:line="240" w:lineRule="auto"/>
              <w:jc w:val="right"/>
              <w:rPr>
                <w:rFonts w:ascii="Lato" w:hAnsi="Lato"/>
                <w:szCs w:val="22"/>
                <w:lang w:val="en-IE"/>
              </w:rPr>
            </w:pPr>
            <w:r w:rsidRPr="001D39EA">
              <w:rPr>
                <w:rFonts w:ascii="Lato" w:hAnsi="Lato"/>
                <w:szCs w:val="22"/>
                <w:lang w:val="en-IE"/>
              </w:rPr>
              <w:t>b)</w:t>
            </w:r>
          </w:p>
        </w:tc>
        <w:tc>
          <w:tcPr>
            <w:tcW w:w="8334" w:type="dxa"/>
            <w:vMerge w:val="restart"/>
            <w:tcBorders>
              <w:top w:val="nil"/>
              <w:left w:val="nil"/>
              <w:right w:val="single" w:sz="4" w:space="0" w:color="auto"/>
            </w:tcBorders>
          </w:tcPr>
          <w:p w:rsidR="002E43A1" w:rsidRPr="001D39EA" w:rsidRDefault="002E43A1" w:rsidP="00E0118D">
            <w:pPr>
              <w:pStyle w:val="BodyTextIndent"/>
              <w:ind w:left="-5"/>
              <w:jc w:val="both"/>
              <w:rPr>
                <w:rFonts w:ascii="Lato" w:hAnsi="Lato"/>
                <w:b w:val="0"/>
                <w:bCs w:val="0"/>
                <w:sz w:val="22"/>
                <w:szCs w:val="22"/>
              </w:rPr>
            </w:pPr>
            <w:r w:rsidRPr="001D39EA">
              <w:rPr>
                <w:rFonts w:ascii="Lato" w:hAnsi="Lato"/>
                <w:b w:val="0"/>
                <w:bCs w:val="0"/>
                <w:sz w:val="22"/>
                <w:szCs w:val="22"/>
              </w:rPr>
              <w:t xml:space="preserve">Redeem all outstanding units and apply to the </w:t>
            </w:r>
            <w:r w:rsidRPr="001D39EA">
              <w:rPr>
                <w:rFonts w:ascii="Lato" w:hAnsi="Lato"/>
                <w:b w:val="0"/>
                <w:sz w:val="22"/>
                <w:szCs w:val="22"/>
              </w:rPr>
              <w:t>Central Bank</w:t>
            </w:r>
            <w:r w:rsidRPr="001D39EA">
              <w:rPr>
                <w:rFonts w:ascii="Lato" w:hAnsi="Lato"/>
                <w:sz w:val="22"/>
                <w:szCs w:val="22"/>
              </w:rPr>
              <w:t xml:space="preserve"> </w:t>
            </w:r>
            <w:r w:rsidRPr="001D39EA">
              <w:rPr>
                <w:rFonts w:ascii="Lato" w:hAnsi="Lato"/>
                <w:b w:val="0"/>
                <w:bCs w:val="0"/>
                <w:sz w:val="22"/>
                <w:szCs w:val="22"/>
              </w:rPr>
              <w:t xml:space="preserve">for </w:t>
            </w:r>
            <w:r w:rsidR="004C56CD" w:rsidRPr="001D39EA">
              <w:rPr>
                <w:rFonts w:ascii="Lato" w:hAnsi="Lato"/>
                <w:b w:val="0"/>
                <w:bCs w:val="0"/>
                <w:sz w:val="22"/>
                <w:szCs w:val="22"/>
              </w:rPr>
              <w:t xml:space="preserve">a </w:t>
            </w:r>
            <w:r w:rsidRPr="001D39EA">
              <w:rPr>
                <w:rFonts w:ascii="Lato" w:hAnsi="Lato"/>
                <w:b w:val="0"/>
                <w:bCs w:val="0"/>
                <w:sz w:val="22"/>
                <w:szCs w:val="22"/>
              </w:rPr>
              <w:t xml:space="preserve">revocation of </w:t>
            </w:r>
            <w:r w:rsidR="00AC41AF" w:rsidRPr="001D39EA">
              <w:rPr>
                <w:rFonts w:ascii="Lato" w:hAnsi="Lato"/>
                <w:b w:val="0"/>
                <w:bCs w:val="0"/>
                <w:sz w:val="22"/>
                <w:szCs w:val="22"/>
              </w:rPr>
              <w:t xml:space="preserve">the </w:t>
            </w:r>
            <w:r w:rsidR="00E0118D" w:rsidRPr="001D39EA">
              <w:rPr>
                <w:rFonts w:ascii="Lato" w:hAnsi="Lato"/>
                <w:b w:val="0"/>
                <w:bCs w:val="0"/>
                <w:sz w:val="22"/>
                <w:szCs w:val="22"/>
              </w:rPr>
              <w:t xml:space="preserve">Qualifying Investor AIF </w:t>
            </w:r>
            <w:r w:rsidRPr="001D39EA">
              <w:rPr>
                <w:rFonts w:ascii="Lato" w:hAnsi="Lato"/>
                <w:b w:val="0"/>
                <w:bCs w:val="0"/>
                <w:sz w:val="22"/>
                <w:szCs w:val="22"/>
              </w:rPr>
              <w:t>authorisation</w:t>
            </w:r>
          </w:p>
        </w:tc>
        <w:tc>
          <w:tcPr>
            <w:tcW w:w="1258" w:type="dxa"/>
            <w:tcBorders>
              <w:top w:val="single" w:sz="4" w:space="0" w:color="auto"/>
              <w:left w:val="single" w:sz="4" w:space="0" w:color="auto"/>
              <w:bottom w:val="single" w:sz="4" w:space="0" w:color="auto"/>
              <w:right w:val="single" w:sz="4" w:space="0" w:color="auto"/>
            </w:tcBorders>
          </w:tcPr>
          <w:p w:rsidR="002E43A1" w:rsidRPr="001D39EA" w:rsidRDefault="002E43A1">
            <w:pPr>
              <w:spacing w:line="240" w:lineRule="auto"/>
              <w:rPr>
                <w:rFonts w:ascii="Lato" w:hAnsi="Lato"/>
                <w:szCs w:val="22"/>
                <w:lang w:val="en-IE"/>
              </w:rPr>
            </w:pPr>
          </w:p>
        </w:tc>
      </w:tr>
      <w:tr w:rsidR="002E43A1" w:rsidRPr="00DC0539" w:rsidTr="003D7082">
        <w:trPr>
          <w:cantSplit/>
          <w:trHeight w:val="254"/>
        </w:trPr>
        <w:tc>
          <w:tcPr>
            <w:tcW w:w="986" w:type="dxa"/>
            <w:vMerge/>
            <w:tcBorders>
              <w:left w:val="nil"/>
              <w:bottom w:val="nil"/>
              <w:right w:val="nil"/>
            </w:tcBorders>
          </w:tcPr>
          <w:p w:rsidR="002E43A1" w:rsidRPr="001D39EA" w:rsidRDefault="002E43A1">
            <w:pPr>
              <w:spacing w:line="240" w:lineRule="auto"/>
              <w:jc w:val="right"/>
              <w:rPr>
                <w:rFonts w:ascii="Lato" w:hAnsi="Lato"/>
                <w:szCs w:val="22"/>
                <w:lang w:val="en-IE"/>
              </w:rPr>
            </w:pPr>
          </w:p>
        </w:tc>
        <w:tc>
          <w:tcPr>
            <w:tcW w:w="8334" w:type="dxa"/>
            <w:vMerge/>
            <w:tcBorders>
              <w:left w:val="nil"/>
              <w:bottom w:val="nil"/>
              <w:right w:val="nil"/>
            </w:tcBorders>
          </w:tcPr>
          <w:p w:rsidR="002E43A1" w:rsidRPr="001D39EA" w:rsidRDefault="002E43A1">
            <w:pPr>
              <w:pStyle w:val="BodyTextIndent"/>
              <w:ind w:left="-5"/>
              <w:jc w:val="both"/>
              <w:rPr>
                <w:rFonts w:ascii="Lato" w:hAnsi="Lato"/>
                <w:b w:val="0"/>
                <w:bCs w:val="0"/>
                <w:sz w:val="22"/>
                <w:szCs w:val="22"/>
              </w:rPr>
            </w:pPr>
          </w:p>
        </w:tc>
        <w:tc>
          <w:tcPr>
            <w:tcW w:w="1258" w:type="dxa"/>
            <w:tcBorders>
              <w:top w:val="single" w:sz="4" w:space="0" w:color="auto"/>
              <w:left w:val="nil"/>
              <w:bottom w:val="nil"/>
              <w:right w:val="nil"/>
            </w:tcBorders>
          </w:tcPr>
          <w:p w:rsidR="002E43A1" w:rsidRPr="001D39EA" w:rsidRDefault="002E43A1">
            <w:pPr>
              <w:spacing w:line="240" w:lineRule="auto"/>
              <w:rPr>
                <w:rFonts w:ascii="Lato" w:hAnsi="Lato"/>
                <w:szCs w:val="22"/>
                <w:lang w:val="en-IE"/>
              </w:rPr>
            </w:pPr>
          </w:p>
        </w:tc>
      </w:tr>
      <w:tr w:rsidR="002E43A1" w:rsidRPr="00DC0539" w:rsidTr="003D7082">
        <w:tc>
          <w:tcPr>
            <w:tcW w:w="986" w:type="dxa"/>
            <w:tcBorders>
              <w:top w:val="nil"/>
              <w:left w:val="nil"/>
              <w:bottom w:val="nil"/>
              <w:right w:val="nil"/>
            </w:tcBorders>
          </w:tcPr>
          <w:p w:rsidR="002E43A1" w:rsidRPr="001D39EA" w:rsidRDefault="002E43A1">
            <w:pPr>
              <w:spacing w:line="240" w:lineRule="auto"/>
              <w:jc w:val="right"/>
              <w:rPr>
                <w:rFonts w:ascii="Lato" w:hAnsi="Lato"/>
                <w:szCs w:val="22"/>
                <w:lang w:val="en-IE"/>
              </w:rPr>
            </w:pPr>
          </w:p>
        </w:tc>
        <w:tc>
          <w:tcPr>
            <w:tcW w:w="8334" w:type="dxa"/>
            <w:tcBorders>
              <w:top w:val="nil"/>
              <w:left w:val="nil"/>
              <w:bottom w:val="nil"/>
              <w:right w:val="nil"/>
            </w:tcBorders>
          </w:tcPr>
          <w:p w:rsidR="002E43A1" w:rsidRPr="001D39EA" w:rsidRDefault="002E43A1">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2E43A1" w:rsidRPr="001D39EA" w:rsidRDefault="002E43A1">
            <w:pPr>
              <w:spacing w:line="240" w:lineRule="auto"/>
              <w:rPr>
                <w:rFonts w:ascii="Lato" w:hAnsi="Lato"/>
                <w:szCs w:val="22"/>
                <w:lang w:val="en-IE"/>
              </w:rPr>
            </w:pPr>
          </w:p>
        </w:tc>
      </w:tr>
      <w:tr w:rsidR="002E43A1" w:rsidRPr="00DC0539" w:rsidTr="003D7082">
        <w:tc>
          <w:tcPr>
            <w:tcW w:w="986" w:type="dxa"/>
            <w:tcBorders>
              <w:top w:val="nil"/>
              <w:left w:val="nil"/>
              <w:bottom w:val="nil"/>
              <w:right w:val="nil"/>
            </w:tcBorders>
          </w:tcPr>
          <w:p w:rsidR="002E43A1" w:rsidRPr="001D39EA" w:rsidRDefault="002E43A1">
            <w:pPr>
              <w:spacing w:line="240" w:lineRule="auto"/>
              <w:jc w:val="right"/>
              <w:rPr>
                <w:rFonts w:ascii="Lato" w:hAnsi="Lato"/>
                <w:szCs w:val="22"/>
                <w:lang w:val="en-IE"/>
              </w:rPr>
            </w:pPr>
            <w:r w:rsidRPr="001D39EA">
              <w:rPr>
                <w:rFonts w:ascii="Lato" w:hAnsi="Lato"/>
                <w:szCs w:val="22"/>
                <w:lang w:val="en-IE"/>
              </w:rPr>
              <w:t>c)</w:t>
            </w:r>
          </w:p>
        </w:tc>
        <w:tc>
          <w:tcPr>
            <w:tcW w:w="8334" w:type="dxa"/>
            <w:tcBorders>
              <w:top w:val="nil"/>
              <w:left w:val="nil"/>
              <w:bottom w:val="nil"/>
              <w:right w:val="single" w:sz="4" w:space="0" w:color="auto"/>
            </w:tcBorders>
          </w:tcPr>
          <w:p w:rsidR="002E43A1" w:rsidRPr="001D39EA" w:rsidRDefault="002E43A1">
            <w:pPr>
              <w:pStyle w:val="BodyTextIndent"/>
              <w:ind w:left="-5"/>
              <w:jc w:val="both"/>
              <w:rPr>
                <w:rFonts w:ascii="Lato" w:hAnsi="Lato"/>
                <w:b w:val="0"/>
                <w:bCs w:val="0"/>
                <w:sz w:val="22"/>
                <w:szCs w:val="22"/>
              </w:rPr>
            </w:pPr>
            <w:r w:rsidRPr="001D39EA">
              <w:rPr>
                <w:rFonts w:ascii="Lato" w:hAnsi="Lato"/>
                <w:b w:val="0"/>
                <w:bCs w:val="0"/>
                <w:sz w:val="22"/>
                <w:szCs w:val="22"/>
              </w:rPr>
              <w:t xml:space="preserve">Convert into an open-ended </w:t>
            </w:r>
            <w:r w:rsidR="00F54A55" w:rsidRPr="001D39EA">
              <w:rPr>
                <w:rFonts w:ascii="Lato" w:hAnsi="Lato"/>
                <w:b w:val="0"/>
                <w:bCs w:val="0"/>
                <w:sz w:val="22"/>
                <w:szCs w:val="22"/>
              </w:rPr>
              <w:t>Q</w:t>
            </w:r>
            <w:r w:rsidR="00E0118D" w:rsidRPr="001D39EA">
              <w:rPr>
                <w:rFonts w:ascii="Lato" w:hAnsi="Lato"/>
                <w:b w:val="0"/>
                <w:bCs w:val="0"/>
                <w:sz w:val="22"/>
                <w:szCs w:val="22"/>
              </w:rPr>
              <w:t xml:space="preserve">ualifying </w:t>
            </w:r>
            <w:r w:rsidR="00F54A55" w:rsidRPr="001D39EA">
              <w:rPr>
                <w:rFonts w:ascii="Lato" w:hAnsi="Lato"/>
                <w:b w:val="0"/>
                <w:bCs w:val="0"/>
                <w:sz w:val="22"/>
                <w:szCs w:val="22"/>
              </w:rPr>
              <w:t>I</w:t>
            </w:r>
            <w:r w:rsidR="00E0118D" w:rsidRPr="001D39EA">
              <w:rPr>
                <w:rFonts w:ascii="Lato" w:hAnsi="Lato"/>
                <w:b w:val="0"/>
                <w:bCs w:val="0"/>
                <w:sz w:val="22"/>
                <w:szCs w:val="22"/>
              </w:rPr>
              <w:t>nvestor</w:t>
            </w:r>
            <w:r w:rsidR="001A363E" w:rsidRPr="001D39EA">
              <w:rPr>
                <w:rFonts w:ascii="Lato" w:hAnsi="Lato"/>
                <w:b w:val="0"/>
                <w:bCs w:val="0"/>
                <w:sz w:val="22"/>
                <w:szCs w:val="22"/>
              </w:rPr>
              <w:t xml:space="preserve"> </w:t>
            </w:r>
            <w:r w:rsidR="00F54A55" w:rsidRPr="001D39EA">
              <w:rPr>
                <w:rFonts w:ascii="Lato" w:hAnsi="Lato"/>
                <w:b w:val="0"/>
                <w:bCs w:val="0"/>
                <w:sz w:val="22"/>
                <w:szCs w:val="22"/>
              </w:rPr>
              <w:t>AIF</w:t>
            </w:r>
            <w:r w:rsidR="00C660C6" w:rsidRPr="001D39EA">
              <w:rPr>
                <w:rFonts w:ascii="Lato" w:hAnsi="Lato"/>
                <w:b w:val="0"/>
                <w:bCs w:val="0"/>
                <w:sz w:val="22"/>
                <w:szCs w:val="22"/>
              </w:rPr>
              <w:t xml:space="preserve"> the relevant details of which will </w:t>
            </w:r>
          </w:p>
        </w:tc>
        <w:tc>
          <w:tcPr>
            <w:tcW w:w="1258" w:type="dxa"/>
            <w:tcBorders>
              <w:top w:val="single" w:sz="4" w:space="0" w:color="auto"/>
              <w:left w:val="single" w:sz="4" w:space="0" w:color="auto"/>
              <w:bottom w:val="single" w:sz="4" w:space="0" w:color="auto"/>
              <w:right w:val="single" w:sz="4" w:space="0" w:color="auto"/>
            </w:tcBorders>
          </w:tcPr>
          <w:p w:rsidR="002E43A1" w:rsidRPr="001D39EA" w:rsidRDefault="002E43A1">
            <w:pPr>
              <w:spacing w:line="240" w:lineRule="auto"/>
              <w:rPr>
                <w:rFonts w:ascii="Lato" w:hAnsi="Lato"/>
                <w:szCs w:val="22"/>
                <w:lang w:val="en-IE"/>
              </w:rPr>
            </w:pPr>
          </w:p>
        </w:tc>
      </w:tr>
      <w:tr w:rsidR="003D7082" w:rsidRPr="00DC0539" w:rsidTr="003D7082">
        <w:tc>
          <w:tcPr>
            <w:tcW w:w="986" w:type="dxa"/>
            <w:tcBorders>
              <w:top w:val="nil"/>
              <w:left w:val="nil"/>
              <w:bottom w:val="nil"/>
              <w:right w:val="nil"/>
            </w:tcBorders>
          </w:tcPr>
          <w:p w:rsidR="003D7082" w:rsidRPr="001D39EA" w:rsidRDefault="003D7082">
            <w:pPr>
              <w:spacing w:line="240" w:lineRule="auto"/>
              <w:jc w:val="right"/>
              <w:rPr>
                <w:rFonts w:ascii="Lato" w:hAnsi="Lato"/>
                <w:szCs w:val="22"/>
                <w:lang w:val="en-IE"/>
              </w:rPr>
            </w:pPr>
          </w:p>
        </w:tc>
        <w:tc>
          <w:tcPr>
            <w:tcW w:w="8334" w:type="dxa"/>
            <w:tcBorders>
              <w:top w:val="nil"/>
              <w:left w:val="nil"/>
              <w:bottom w:val="nil"/>
              <w:right w:val="nil"/>
            </w:tcBorders>
          </w:tcPr>
          <w:p w:rsidR="003D7082" w:rsidRPr="001D39EA" w:rsidRDefault="00250034">
            <w:pPr>
              <w:pStyle w:val="BodyTextIndent"/>
              <w:ind w:left="-5"/>
              <w:jc w:val="both"/>
              <w:rPr>
                <w:rFonts w:ascii="Lato" w:hAnsi="Lato"/>
                <w:b w:val="0"/>
                <w:bCs w:val="0"/>
                <w:sz w:val="22"/>
                <w:szCs w:val="22"/>
              </w:rPr>
            </w:pPr>
            <w:r w:rsidRPr="00F72ED7">
              <w:rPr>
                <w:rFonts w:ascii="Lato" w:hAnsi="Lato"/>
                <w:b w:val="0"/>
                <w:bCs w:val="0"/>
                <w:sz w:val="22"/>
                <w:szCs w:val="22"/>
              </w:rPr>
              <w:t xml:space="preserve">be </w:t>
            </w:r>
            <w:r w:rsidR="00E0118D" w:rsidRPr="001D39EA">
              <w:rPr>
                <w:rFonts w:ascii="Lato" w:hAnsi="Lato"/>
                <w:b w:val="0"/>
                <w:bCs w:val="0"/>
                <w:sz w:val="22"/>
                <w:szCs w:val="22"/>
              </w:rPr>
              <w:t>disclosed in the p</w:t>
            </w:r>
            <w:r w:rsidR="003D7082" w:rsidRPr="001D39EA">
              <w:rPr>
                <w:rFonts w:ascii="Lato" w:hAnsi="Lato"/>
                <w:b w:val="0"/>
                <w:bCs w:val="0"/>
                <w:sz w:val="22"/>
                <w:szCs w:val="22"/>
              </w:rPr>
              <w:t>rospectus; or</w:t>
            </w:r>
          </w:p>
        </w:tc>
        <w:tc>
          <w:tcPr>
            <w:tcW w:w="1258" w:type="dxa"/>
            <w:tcBorders>
              <w:top w:val="single" w:sz="4" w:space="0" w:color="auto"/>
              <w:left w:val="nil"/>
              <w:bottom w:val="nil"/>
              <w:right w:val="nil"/>
            </w:tcBorders>
          </w:tcPr>
          <w:p w:rsidR="003D7082" w:rsidRPr="001D39EA" w:rsidRDefault="003D7082">
            <w:pPr>
              <w:spacing w:line="240" w:lineRule="auto"/>
              <w:rPr>
                <w:rFonts w:ascii="Lato" w:hAnsi="Lato"/>
                <w:szCs w:val="22"/>
                <w:lang w:val="en-IE"/>
              </w:rPr>
            </w:pPr>
          </w:p>
        </w:tc>
      </w:tr>
      <w:tr w:rsidR="002E43A1" w:rsidRPr="00DC0539" w:rsidTr="003D7082">
        <w:trPr>
          <w:cantSplit/>
          <w:trHeight w:val="255"/>
        </w:trPr>
        <w:tc>
          <w:tcPr>
            <w:tcW w:w="986" w:type="dxa"/>
            <w:tcBorders>
              <w:top w:val="nil"/>
              <w:left w:val="nil"/>
              <w:bottom w:val="nil"/>
              <w:right w:val="nil"/>
            </w:tcBorders>
          </w:tcPr>
          <w:p w:rsidR="002E43A1" w:rsidRPr="001D39EA" w:rsidRDefault="002E43A1">
            <w:pPr>
              <w:spacing w:line="240" w:lineRule="auto"/>
              <w:jc w:val="right"/>
              <w:rPr>
                <w:rFonts w:ascii="Lato" w:hAnsi="Lato"/>
                <w:szCs w:val="22"/>
                <w:lang w:val="en-IE"/>
              </w:rPr>
            </w:pPr>
          </w:p>
        </w:tc>
        <w:tc>
          <w:tcPr>
            <w:tcW w:w="8334" w:type="dxa"/>
            <w:tcBorders>
              <w:top w:val="nil"/>
              <w:left w:val="nil"/>
              <w:bottom w:val="nil"/>
              <w:right w:val="nil"/>
            </w:tcBorders>
          </w:tcPr>
          <w:p w:rsidR="002E43A1" w:rsidRPr="001D39EA" w:rsidRDefault="002E43A1">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2E43A1" w:rsidRPr="001D39EA" w:rsidRDefault="002E43A1">
            <w:pPr>
              <w:spacing w:line="240" w:lineRule="auto"/>
              <w:rPr>
                <w:rFonts w:ascii="Lato" w:hAnsi="Lato"/>
                <w:szCs w:val="22"/>
                <w:lang w:val="en-IE"/>
              </w:rPr>
            </w:pPr>
          </w:p>
        </w:tc>
      </w:tr>
      <w:tr w:rsidR="002E43A1" w:rsidRPr="00DC0539" w:rsidTr="003D7082">
        <w:trPr>
          <w:cantSplit/>
          <w:trHeight w:val="255"/>
        </w:trPr>
        <w:tc>
          <w:tcPr>
            <w:tcW w:w="986" w:type="dxa"/>
            <w:tcBorders>
              <w:top w:val="nil"/>
              <w:left w:val="nil"/>
              <w:bottom w:val="nil"/>
              <w:right w:val="nil"/>
            </w:tcBorders>
          </w:tcPr>
          <w:p w:rsidR="002E43A1" w:rsidRPr="001D39EA" w:rsidRDefault="002E43A1">
            <w:pPr>
              <w:spacing w:line="240" w:lineRule="auto"/>
              <w:jc w:val="right"/>
              <w:rPr>
                <w:rFonts w:ascii="Lato" w:hAnsi="Lato"/>
                <w:szCs w:val="22"/>
                <w:lang w:val="en-IE"/>
              </w:rPr>
            </w:pPr>
            <w:r w:rsidRPr="001D39EA">
              <w:rPr>
                <w:rFonts w:ascii="Lato" w:hAnsi="Lato"/>
                <w:szCs w:val="22"/>
                <w:lang w:val="en-IE"/>
              </w:rPr>
              <w:t>d)</w:t>
            </w:r>
          </w:p>
        </w:tc>
        <w:tc>
          <w:tcPr>
            <w:tcW w:w="8334" w:type="dxa"/>
            <w:tcBorders>
              <w:top w:val="nil"/>
              <w:left w:val="nil"/>
              <w:bottom w:val="nil"/>
              <w:right w:val="single" w:sz="4" w:space="0" w:color="auto"/>
            </w:tcBorders>
          </w:tcPr>
          <w:p w:rsidR="002E43A1" w:rsidRPr="001D39EA" w:rsidRDefault="006710CC" w:rsidP="006710CC">
            <w:pPr>
              <w:pStyle w:val="BodyTextIndent"/>
              <w:ind w:left="-5"/>
              <w:jc w:val="both"/>
              <w:rPr>
                <w:rFonts w:ascii="Lato" w:hAnsi="Lato"/>
                <w:b w:val="0"/>
                <w:bCs w:val="0"/>
                <w:sz w:val="22"/>
                <w:szCs w:val="22"/>
              </w:rPr>
            </w:pPr>
            <w:r w:rsidRPr="001D39EA">
              <w:rPr>
                <w:rFonts w:ascii="Lato" w:hAnsi="Lato"/>
                <w:b w:val="0"/>
                <w:bCs w:val="0"/>
                <w:sz w:val="22"/>
                <w:szCs w:val="22"/>
              </w:rPr>
              <w:t>Obtain unitholder approval  to extend the closed-ended period for a further finite period</w:t>
            </w:r>
            <w:r w:rsidR="002E43A1" w:rsidRPr="001D39EA">
              <w:rPr>
                <w:rFonts w:ascii="Lato" w:hAnsi="Lato"/>
                <w:b w:val="0"/>
                <w:bCs w:val="0"/>
                <w:sz w:val="22"/>
                <w:szCs w:val="22"/>
              </w:rPr>
              <w:t xml:space="preserve"> </w:t>
            </w:r>
          </w:p>
        </w:tc>
        <w:tc>
          <w:tcPr>
            <w:tcW w:w="1258" w:type="dxa"/>
            <w:tcBorders>
              <w:top w:val="single" w:sz="4" w:space="0" w:color="auto"/>
              <w:left w:val="single" w:sz="4" w:space="0" w:color="auto"/>
              <w:bottom w:val="single" w:sz="4" w:space="0" w:color="auto"/>
              <w:right w:val="single" w:sz="4" w:space="0" w:color="auto"/>
            </w:tcBorders>
          </w:tcPr>
          <w:p w:rsidR="002E43A1" w:rsidRPr="001D39EA" w:rsidRDefault="002E43A1">
            <w:pPr>
              <w:spacing w:line="240" w:lineRule="auto"/>
              <w:rPr>
                <w:rFonts w:ascii="Lato" w:hAnsi="Lato"/>
                <w:szCs w:val="22"/>
                <w:lang w:val="en-IE"/>
              </w:rPr>
            </w:pPr>
          </w:p>
        </w:tc>
      </w:tr>
      <w:tr w:rsidR="007B7B3F" w:rsidRPr="00DC0539" w:rsidTr="00345E65">
        <w:tc>
          <w:tcPr>
            <w:tcW w:w="986" w:type="dxa"/>
            <w:tcBorders>
              <w:top w:val="nil"/>
              <w:left w:val="nil"/>
              <w:bottom w:val="nil"/>
              <w:right w:val="nil"/>
            </w:tcBorders>
          </w:tcPr>
          <w:p w:rsidR="007B7B3F" w:rsidRPr="001D39EA" w:rsidRDefault="007B7B3F">
            <w:pPr>
              <w:spacing w:line="240" w:lineRule="auto"/>
              <w:rPr>
                <w:rFonts w:ascii="Lato" w:hAnsi="Lato"/>
                <w:szCs w:val="22"/>
                <w:lang w:val="en-IE"/>
              </w:rPr>
            </w:pPr>
          </w:p>
        </w:tc>
        <w:tc>
          <w:tcPr>
            <w:tcW w:w="8334" w:type="dxa"/>
            <w:tcBorders>
              <w:top w:val="nil"/>
              <w:left w:val="nil"/>
              <w:bottom w:val="nil"/>
              <w:right w:val="nil"/>
            </w:tcBorders>
          </w:tcPr>
          <w:p w:rsidR="007B7B3F" w:rsidRPr="001D39EA" w:rsidRDefault="007B7B3F">
            <w:pPr>
              <w:pStyle w:val="BodyTextIndent"/>
              <w:ind w:left="-5"/>
              <w:jc w:val="both"/>
              <w:rPr>
                <w:rFonts w:ascii="Lato" w:hAnsi="Lato"/>
                <w:b w:val="0"/>
                <w:bCs w:val="0"/>
                <w:sz w:val="22"/>
                <w:szCs w:val="22"/>
              </w:rPr>
            </w:pPr>
          </w:p>
        </w:tc>
        <w:tc>
          <w:tcPr>
            <w:tcW w:w="1258" w:type="dxa"/>
            <w:tcBorders>
              <w:top w:val="single" w:sz="4" w:space="0" w:color="auto"/>
              <w:left w:val="nil"/>
              <w:bottom w:val="nil"/>
              <w:right w:val="nil"/>
            </w:tcBorders>
          </w:tcPr>
          <w:p w:rsidR="007B7B3F" w:rsidRPr="001D39EA" w:rsidRDefault="007B7B3F">
            <w:pPr>
              <w:spacing w:line="240" w:lineRule="auto"/>
              <w:rPr>
                <w:rFonts w:ascii="Lato" w:hAnsi="Lato"/>
                <w:szCs w:val="22"/>
                <w:lang w:val="en-IE"/>
              </w:rPr>
            </w:pPr>
          </w:p>
        </w:tc>
      </w:tr>
      <w:tr w:rsidR="00E43ECB" w:rsidRPr="00DC0539" w:rsidTr="00345E65">
        <w:tc>
          <w:tcPr>
            <w:tcW w:w="986" w:type="dxa"/>
            <w:tcBorders>
              <w:top w:val="nil"/>
              <w:left w:val="nil"/>
              <w:bottom w:val="nil"/>
              <w:right w:val="nil"/>
            </w:tcBorders>
          </w:tcPr>
          <w:p w:rsidR="00E43ECB" w:rsidRPr="001D39EA" w:rsidRDefault="00E43ECB">
            <w:pPr>
              <w:spacing w:line="240" w:lineRule="auto"/>
              <w:rPr>
                <w:rFonts w:ascii="Lato" w:hAnsi="Lato"/>
                <w:szCs w:val="22"/>
                <w:lang w:val="en-IE"/>
              </w:rPr>
            </w:pPr>
            <w:r w:rsidRPr="001D39EA">
              <w:rPr>
                <w:rFonts w:ascii="Lato" w:hAnsi="Lato"/>
                <w:szCs w:val="22"/>
                <w:lang w:val="en-IE"/>
              </w:rPr>
              <w:t>3.17.2</w:t>
            </w:r>
          </w:p>
        </w:tc>
        <w:tc>
          <w:tcPr>
            <w:tcW w:w="8334" w:type="dxa"/>
            <w:tcBorders>
              <w:top w:val="nil"/>
              <w:left w:val="nil"/>
              <w:bottom w:val="nil"/>
              <w:right w:val="nil"/>
            </w:tcBorders>
          </w:tcPr>
          <w:p w:rsidR="00E43ECB" w:rsidRPr="001D39EA" w:rsidRDefault="00E43ECB" w:rsidP="005A060C">
            <w:pPr>
              <w:pStyle w:val="BodyTextIndent"/>
              <w:ind w:left="-5"/>
              <w:jc w:val="both"/>
              <w:rPr>
                <w:rFonts w:ascii="Lato" w:hAnsi="Lato"/>
                <w:b w:val="0"/>
                <w:bCs w:val="0"/>
                <w:sz w:val="22"/>
                <w:szCs w:val="22"/>
              </w:rPr>
            </w:pPr>
            <w:r w:rsidRPr="001D39EA">
              <w:rPr>
                <w:rFonts w:ascii="Lato" w:hAnsi="Lato"/>
                <w:b w:val="0"/>
                <w:bCs w:val="0"/>
                <w:sz w:val="22"/>
                <w:szCs w:val="22"/>
              </w:rPr>
              <w:t>Changes in maximum redemption fee for closed-ended Qualifying Investor AIF</w:t>
            </w:r>
          </w:p>
        </w:tc>
        <w:tc>
          <w:tcPr>
            <w:tcW w:w="1258" w:type="dxa"/>
            <w:tcBorders>
              <w:top w:val="nil"/>
              <w:left w:val="nil"/>
              <w:bottom w:val="nil"/>
              <w:right w:val="nil"/>
            </w:tcBorders>
          </w:tcPr>
          <w:p w:rsidR="00E43ECB" w:rsidRPr="001D39EA" w:rsidRDefault="00E43ECB">
            <w:pPr>
              <w:spacing w:line="240" w:lineRule="auto"/>
              <w:rPr>
                <w:rFonts w:ascii="Lato" w:hAnsi="Lato"/>
                <w:szCs w:val="22"/>
                <w:lang w:val="en-IE"/>
              </w:rPr>
            </w:pPr>
          </w:p>
        </w:tc>
      </w:tr>
      <w:tr w:rsidR="00E43ECB" w:rsidRPr="00DC0539" w:rsidTr="00E43ECB">
        <w:tc>
          <w:tcPr>
            <w:tcW w:w="986" w:type="dxa"/>
            <w:tcBorders>
              <w:top w:val="nil"/>
              <w:left w:val="nil"/>
              <w:bottom w:val="nil"/>
              <w:right w:val="nil"/>
            </w:tcBorders>
          </w:tcPr>
          <w:p w:rsidR="00E43ECB" w:rsidRPr="001D39EA"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1D39EA" w:rsidRDefault="00E43ECB" w:rsidP="005A060C">
            <w:pPr>
              <w:pStyle w:val="BodyTextIndent"/>
              <w:ind w:left="-5"/>
              <w:jc w:val="both"/>
              <w:rPr>
                <w:rFonts w:ascii="Lato" w:hAnsi="Lato"/>
                <w:b w:val="0"/>
                <w:bCs w:val="0"/>
                <w:sz w:val="22"/>
                <w:szCs w:val="22"/>
              </w:rPr>
            </w:pPr>
            <w:r w:rsidRPr="001D39EA">
              <w:rPr>
                <w:rFonts w:ascii="Lato" w:hAnsi="Lato"/>
                <w:b w:val="0"/>
                <w:bCs w:val="0"/>
                <w:sz w:val="22"/>
                <w:szCs w:val="22"/>
              </w:rPr>
              <w:t xml:space="preserve">Where the closed-ended Qualifying Investor AIF proposes to amend the maximum </w:t>
            </w:r>
          </w:p>
        </w:tc>
        <w:tc>
          <w:tcPr>
            <w:tcW w:w="1258" w:type="dxa"/>
            <w:tcBorders>
              <w:top w:val="nil"/>
              <w:left w:val="nil"/>
              <w:bottom w:val="nil"/>
              <w:right w:val="nil"/>
            </w:tcBorders>
          </w:tcPr>
          <w:p w:rsidR="00E43ECB" w:rsidRPr="001D39EA" w:rsidRDefault="00E43ECB">
            <w:pPr>
              <w:spacing w:line="240" w:lineRule="auto"/>
              <w:rPr>
                <w:rFonts w:ascii="Lato" w:hAnsi="Lato"/>
                <w:szCs w:val="22"/>
                <w:lang w:val="en-IE"/>
              </w:rPr>
            </w:pPr>
          </w:p>
        </w:tc>
      </w:tr>
      <w:tr w:rsidR="005A060C" w:rsidRPr="00DC0539" w:rsidTr="00E43ECB">
        <w:tc>
          <w:tcPr>
            <w:tcW w:w="986" w:type="dxa"/>
            <w:tcBorders>
              <w:top w:val="nil"/>
              <w:left w:val="nil"/>
              <w:bottom w:val="nil"/>
              <w:right w:val="nil"/>
            </w:tcBorders>
          </w:tcPr>
          <w:p w:rsidR="005A060C" w:rsidRPr="001D39EA" w:rsidRDefault="005A060C">
            <w:pPr>
              <w:spacing w:line="240" w:lineRule="auto"/>
              <w:rPr>
                <w:rFonts w:ascii="Lato" w:hAnsi="Lato"/>
                <w:szCs w:val="22"/>
                <w:lang w:val="en-IE"/>
              </w:rPr>
            </w:pPr>
          </w:p>
        </w:tc>
        <w:tc>
          <w:tcPr>
            <w:tcW w:w="8334" w:type="dxa"/>
            <w:tcBorders>
              <w:top w:val="nil"/>
              <w:left w:val="nil"/>
              <w:bottom w:val="nil"/>
              <w:right w:val="nil"/>
            </w:tcBorders>
          </w:tcPr>
          <w:p w:rsidR="005A060C" w:rsidRPr="001D39EA" w:rsidRDefault="005A060C" w:rsidP="00881793">
            <w:pPr>
              <w:pStyle w:val="BodyTextIndent"/>
              <w:ind w:left="-5"/>
              <w:jc w:val="both"/>
              <w:rPr>
                <w:rFonts w:ascii="Lato" w:hAnsi="Lato"/>
                <w:b w:val="0"/>
                <w:bCs w:val="0"/>
                <w:sz w:val="22"/>
                <w:szCs w:val="22"/>
              </w:rPr>
            </w:pPr>
            <w:r w:rsidRPr="001D39EA">
              <w:rPr>
                <w:rFonts w:ascii="Lato" w:hAnsi="Lato"/>
                <w:b w:val="0"/>
                <w:bCs w:val="0"/>
                <w:sz w:val="22"/>
                <w:szCs w:val="22"/>
              </w:rPr>
              <w:t xml:space="preserve">redemption charge, or the maximum annual fee charged by the </w:t>
            </w:r>
            <w:r w:rsidR="00FD725B" w:rsidRPr="001D39EA">
              <w:rPr>
                <w:rFonts w:ascii="Lato" w:hAnsi="Lato"/>
                <w:b w:val="0"/>
                <w:bCs w:val="0"/>
                <w:sz w:val="22"/>
                <w:szCs w:val="22"/>
              </w:rPr>
              <w:t>AIFM/</w:t>
            </w:r>
            <w:r w:rsidRPr="001D39EA">
              <w:rPr>
                <w:rFonts w:ascii="Lato" w:hAnsi="Lato"/>
                <w:b w:val="0"/>
                <w:bCs w:val="0"/>
                <w:sz w:val="22"/>
                <w:szCs w:val="22"/>
              </w:rPr>
              <w:t>management company</w:t>
            </w:r>
            <w:r w:rsidR="00FD725B" w:rsidRPr="001D39EA">
              <w:rPr>
                <w:rFonts w:ascii="Lato" w:hAnsi="Lato"/>
                <w:b w:val="0"/>
                <w:bCs w:val="0"/>
                <w:sz w:val="22"/>
                <w:szCs w:val="22"/>
              </w:rPr>
              <w:t xml:space="preserve">/investment manager (where this fee is paid directly out of the assets of </w:t>
            </w:r>
            <w:r w:rsidRPr="001D39EA">
              <w:rPr>
                <w:rFonts w:ascii="Lato" w:hAnsi="Lato"/>
                <w:b w:val="0"/>
                <w:bCs w:val="0"/>
                <w:sz w:val="22"/>
                <w:szCs w:val="22"/>
              </w:rPr>
              <w:t>the</w:t>
            </w:r>
            <w:r w:rsidR="00FD725B" w:rsidRPr="001D39EA">
              <w:rPr>
                <w:rFonts w:ascii="Lato" w:hAnsi="Lato"/>
                <w:b w:val="0"/>
                <w:bCs w:val="0"/>
                <w:sz w:val="22"/>
                <w:szCs w:val="22"/>
              </w:rPr>
              <w:t xml:space="preserve"> Qualifying Investor AIF) following approach must be adopted:</w:t>
            </w:r>
          </w:p>
        </w:tc>
        <w:tc>
          <w:tcPr>
            <w:tcW w:w="1258" w:type="dxa"/>
            <w:tcBorders>
              <w:top w:val="nil"/>
              <w:left w:val="nil"/>
              <w:bottom w:val="nil"/>
              <w:right w:val="nil"/>
            </w:tcBorders>
          </w:tcPr>
          <w:p w:rsidR="005A060C" w:rsidRPr="001D39EA" w:rsidRDefault="005A060C">
            <w:pPr>
              <w:spacing w:line="240" w:lineRule="auto"/>
              <w:rPr>
                <w:rFonts w:ascii="Lato" w:hAnsi="Lato"/>
                <w:szCs w:val="22"/>
                <w:lang w:val="en-IE"/>
              </w:rPr>
            </w:pPr>
          </w:p>
        </w:tc>
      </w:tr>
      <w:tr w:rsidR="005A060C" w:rsidRPr="00DC0539" w:rsidTr="00E43ECB">
        <w:tc>
          <w:tcPr>
            <w:tcW w:w="986" w:type="dxa"/>
            <w:tcBorders>
              <w:top w:val="nil"/>
              <w:left w:val="nil"/>
              <w:bottom w:val="nil"/>
              <w:right w:val="nil"/>
            </w:tcBorders>
          </w:tcPr>
          <w:p w:rsidR="005A060C" w:rsidRPr="001D39EA" w:rsidRDefault="005A060C">
            <w:pPr>
              <w:spacing w:line="240" w:lineRule="auto"/>
              <w:rPr>
                <w:rFonts w:ascii="Lato" w:hAnsi="Lato"/>
                <w:szCs w:val="22"/>
                <w:lang w:val="en-IE"/>
              </w:rPr>
            </w:pPr>
          </w:p>
        </w:tc>
        <w:tc>
          <w:tcPr>
            <w:tcW w:w="8334" w:type="dxa"/>
            <w:tcBorders>
              <w:top w:val="nil"/>
              <w:left w:val="nil"/>
              <w:bottom w:val="nil"/>
              <w:right w:val="nil"/>
            </w:tcBorders>
          </w:tcPr>
          <w:p w:rsidR="005A060C" w:rsidRPr="001D39EA" w:rsidRDefault="005A060C" w:rsidP="00E43ECB">
            <w:pPr>
              <w:pStyle w:val="BodyTextIndent"/>
              <w:ind w:left="-5"/>
              <w:jc w:val="both"/>
              <w:rPr>
                <w:rFonts w:ascii="Lato" w:hAnsi="Lato"/>
                <w:b w:val="0"/>
                <w:bCs w:val="0"/>
                <w:sz w:val="22"/>
                <w:szCs w:val="22"/>
              </w:rPr>
            </w:pPr>
          </w:p>
        </w:tc>
        <w:tc>
          <w:tcPr>
            <w:tcW w:w="1258" w:type="dxa"/>
            <w:tcBorders>
              <w:top w:val="nil"/>
              <w:left w:val="nil"/>
              <w:bottom w:val="nil"/>
              <w:right w:val="nil"/>
            </w:tcBorders>
          </w:tcPr>
          <w:p w:rsidR="005A060C" w:rsidRPr="001D39EA" w:rsidRDefault="005A060C">
            <w:pPr>
              <w:spacing w:line="240" w:lineRule="auto"/>
              <w:rPr>
                <w:rFonts w:ascii="Lato" w:hAnsi="Lato"/>
                <w:szCs w:val="22"/>
                <w:lang w:val="en-IE"/>
              </w:rPr>
            </w:pPr>
          </w:p>
        </w:tc>
      </w:tr>
      <w:tr w:rsidR="00E43ECB" w:rsidRPr="00DC0539" w:rsidTr="00345E65">
        <w:tc>
          <w:tcPr>
            <w:tcW w:w="986" w:type="dxa"/>
            <w:tcBorders>
              <w:top w:val="nil"/>
              <w:left w:val="nil"/>
              <w:bottom w:val="nil"/>
              <w:right w:val="nil"/>
            </w:tcBorders>
          </w:tcPr>
          <w:p w:rsidR="00E43ECB" w:rsidRPr="001D39EA" w:rsidRDefault="00E43ECB">
            <w:pPr>
              <w:spacing w:line="240" w:lineRule="auto"/>
              <w:rPr>
                <w:rFonts w:ascii="Lato" w:hAnsi="Lato"/>
                <w:szCs w:val="22"/>
                <w:lang w:val="en-IE"/>
              </w:rPr>
            </w:pPr>
          </w:p>
        </w:tc>
        <w:tc>
          <w:tcPr>
            <w:tcW w:w="8334" w:type="dxa"/>
            <w:tcBorders>
              <w:top w:val="nil"/>
              <w:left w:val="nil"/>
              <w:bottom w:val="nil"/>
              <w:right w:val="single" w:sz="4" w:space="0" w:color="auto"/>
            </w:tcBorders>
          </w:tcPr>
          <w:p w:rsidR="00E43ECB" w:rsidRPr="001D39EA" w:rsidRDefault="00E43ECB" w:rsidP="00E43ECB">
            <w:pPr>
              <w:pStyle w:val="BodyTextIndent"/>
              <w:ind w:left="-5"/>
              <w:jc w:val="both"/>
              <w:rPr>
                <w:rFonts w:ascii="Lato" w:hAnsi="Lato"/>
                <w:b w:val="0"/>
                <w:bCs w:val="0"/>
                <w:sz w:val="22"/>
                <w:szCs w:val="22"/>
              </w:rPr>
            </w:pPr>
            <w:r w:rsidRPr="001D39EA">
              <w:rPr>
                <w:rFonts w:ascii="Lato" w:hAnsi="Lato"/>
                <w:b w:val="0"/>
                <w:bCs w:val="0"/>
                <w:sz w:val="22"/>
                <w:szCs w:val="22"/>
              </w:rPr>
              <w:t xml:space="preserve">No realistic liquidity provisions:  Where there is a proposed increase in these fees or </w:t>
            </w:r>
          </w:p>
        </w:tc>
        <w:tc>
          <w:tcPr>
            <w:tcW w:w="1258" w:type="dxa"/>
            <w:tcBorders>
              <w:top w:val="single" w:sz="4" w:space="0" w:color="auto"/>
              <w:left w:val="single" w:sz="4" w:space="0" w:color="auto"/>
              <w:bottom w:val="single" w:sz="4" w:space="0" w:color="auto"/>
              <w:right w:val="single" w:sz="4" w:space="0" w:color="auto"/>
            </w:tcBorders>
          </w:tcPr>
          <w:p w:rsidR="00E43ECB" w:rsidRPr="001D39EA" w:rsidRDefault="00E43ECB">
            <w:pPr>
              <w:spacing w:line="240" w:lineRule="auto"/>
              <w:rPr>
                <w:rFonts w:ascii="Lato" w:hAnsi="Lato"/>
                <w:szCs w:val="22"/>
                <w:lang w:val="en-IE"/>
              </w:rPr>
            </w:pPr>
          </w:p>
        </w:tc>
      </w:tr>
      <w:tr w:rsidR="00E43ECB" w:rsidRPr="00DC0539" w:rsidTr="00345E65">
        <w:tc>
          <w:tcPr>
            <w:tcW w:w="986" w:type="dxa"/>
            <w:tcBorders>
              <w:top w:val="nil"/>
              <w:left w:val="nil"/>
              <w:bottom w:val="nil"/>
              <w:right w:val="nil"/>
            </w:tcBorders>
          </w:tcPr>
          <w:p w:rsidR="00E43ECB" w:rsidRPr="001D39EA"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1D39EA" w:rsidRDefault="00E43ECB">
            <w:pPr>
              <w:pStyle w:val="BodyTextIndent"/>
              <w:ind w:left="-5"/>
              <w:jc w:val="both"/>
              <w:rPr>
                <w:rFonts w:ascii="Lato" w:hAnsi="Lato"/>
                <w:b w:val="0"/>
                <w:bCs w:val="0"/>
                <w:sz w:val="22"/>
                <w:szCs w:val="22"/>
              </w:rPr>
            </w:pPr>
            <w:r w:rsidRPr="001D39EA">
              <w:rPr>
                <w:rFonts w:ascii="Lato" w:hAnsi="Lato"/>
                <w:b w:val="0"/>
                <w:bCs w:val="0"/>
                <w:sz w:val="22"/>
                <w:szCs w:val="22"/>
              </w:rPr>
              <w:t>charges with no opportunity for unitholders to redeem or otherwise exit the Qualifying Investor AIF, it shall ensure that votes in favour of the increase must represent at least 75% of votes cast.</w:t>
            </w:r>
          </w:p>
        </w:tc>
        <w:tc>
          <w:tcPr>
            <w:tcW w:w="1258" w:type="dxa"/>
            <w:tcBorders>
              <w:top w:val="single" w:sz="4" w:space="0" w:color="auto"/>
              <w:left w:val="nil"/>
              <w:bottom w:val="nil"/>
              <w:right w:val="nil"/>
            </w:tcBorders>
          </w:tcPr>
          <w:p w:rsidR="00E43ECB" w:rsidRPr="001D39EA" w:rsidRDefault="00E43ECB">
            <w:pPr>
              <w:spacing w:line="240" w:lineRule="auto"/>
              <w:rPr>
                <w:rFonts w:ascii="Lato" w:hAnsi="Lato"/>
                <w:szCs w:val="22"/>
                <w:lang w:val="en-IE"/>
              </w:rPr>
            </w:pPr>
          </w:p>
        </w:tc>
      </w:tr>
      <w:tr w:rsidR="00E43ECB" w:rsidRPr="00DC0539" w:rsidTr="00345E65">
        <w:tc>
          <w:tcPr>
            <w:tcW w:w="986" w:type="dxa"/>
            <w:tcBorders>
              <w:top w:val="nil"/>
              <w:left w:val="nil"/>
              <w:bottom w:val="nil"/>
              <w:right w:val="nil"/>
            </w:tcBorders>
          </w:tcPr>
          <w:p w:rsidR="00E43ECB" w:rsidRPr="001D39EA"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1D39EA" w:rsidRDefault="00E43ECB">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E43ECB" w:rsidRPr="001D39EA" w:rsidRDefault="00E43ECB">
            <w:pPr>
              <w:spacing w:line="240" w:lineRule="auto"/>
              <w:rPr>
                <w:rFonts w:ascii="Lato" w:hAnsi="Lato"/>
                <w:szCs w:val="22"/>
                <w:lang w:val="en-IE"/>
              </w:rPr>
            </w:pPr>
          </w:p>
        </w:tc>
      </w:tr>
      <w:tr w:rsidR="00E43ECB" w:rsidRPr="00DC0539" w:rsidTr="00345E65">
        <w:tc>
          <w:tcPr>
            <w:tcW w:w="986" w:type="dxa"/>
            <w:tcBorders>
              <w:top w:val="nil"/>
              <w:left w:val="nil"/>
              <w:bottom w:val="nil"/>
              <w:right w:val="nil"/>
            </w:tcBorders>
          </w:tcPr>
          <w:p w:rsidR="00E43ECB" w:rsidRPr="001D39EA" w:rsidRDefault="00E43ECB">
            <w:pPr>
              <w:spacing w:line="240" w:lineRule="auto"/>
              <w:rPr>
                <w:rFonts w:ascii="Lato" w:hAnsi="Lato"/>
                <w:szCs w:val="22"/>
                <w:lang w:val="en-IE"/>
              </w:rPr>
            </w:pPr>
          </w:p>
        </w:tc>
        <w:tc>
          <w:tcPr>
            <w:tcW w:w="8334" w:type="dxa"/>
            <w:tcBorders>
              <w:top w:val="nil"/>
              <w:left w:val="nil"/>
              <w:bottom w:val="nil"/>
              <w:right w:val="single" w:sz="4" w:space="0" w:color="auto"/>
            </w:tcBorders>
          </w:tcPr>
          <w:p w:rsidR="00E43ECB" w:rsidRPr="001D39EA" w:rsidRDefault="00E43ECB">
            <w:pPr>
              <w:pStyle w:val="BodyTextIndent"/>
              <w:ind w:left="-5"/>
              <w:jc w:val="both"/>
              <w:rPr>
                <w:rFonts w:ascii="Lato" w:hAnsi="Lato"/>
                <w:b w:val="0"/>
                <w:bCs w:val="0"/>
                <w:sz w:val="22"/>
                <w:szCs w:val="22"/>
              </w:rPr>
            </w:pPr>
            <w:r w:rsidRPr="001D39EA">
              <w:rPr>
                <w:rFonts w:ascii="Lato" w:hAnsi="Lato"/>
                <w:b w:val="0"/>
                <w:bCs w:val="0"/>
                <w:sz w:val="22"/>
                <w:szCs w:val="22"/>
              </w:rPr>
              <w:t xml:space="preserve">Realistic liquidity provisions: Where there is a proposed increase in these fees or </w:t>
            </w:r>
          </w:p>
        </w:tc>
        <w:tc>
          <w:tcPr>
            <w:tcW w:w="1258" w:type="dxa"/>
            <w:tcBorders>
              <w:top w:val="single" w:sz="4" w:space="0" w:color="auto"/>
              <w:left w:val="single" w:sz="4" w:space="0" w:color="auto"/>
              <w:bottom w:val="single" w:sz="4" w:space="0" w:color="auto"/>
              <w:right w:val="single" w:sz="4" w:space="0" w:color="auto"/>
            </w:tcBorders>
          </w:tcPr>
          <w:p w:rsidR="00E43ECB" w:rsidRPr="001D39EA" w:rsidRDefault="00E43ECB">
            <w:pPr>
              <w:spacing w:line="240" w:lineRule="auto"/>
              <w:rPr>
                <w:rFonts w:ascii="Lato" w:hAnsi="Lato"/>
                <w:szCs w:val="22"/>
                <w:lang w:val="en-IE"/>
              </w:rPr>
            </w:pPr>
          </w:p>
        </w:tc>
      </w:tr>
      <w:tr w:rsidR="00E43ECB" w:rsidRPr="00DC0539" w:rsidTr="00345E65">
        <w:tc>
          <w:tcPr>
            <w:tcW w:w="986" w:type="dxa"/>
            <w:tcBorders>
              <w:top w:val="nil"/>
              <w:left w:val="nil"/>
              <w:bottom w:val="nil"/>
              <w:right w:val="nil"/>
            </w:tcBorders>
          </w:tcPr>
          <w:p w:rsidR="00E43ECB" w:rsidRPr="001D39EA"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1D39EA" w:rsidRDefault="00250034">
            <w:pPr>
              <w:pStyle w:val="BodyTextIndent"/>
              <w:ind w:left="-5"/>
              <w:jc w:val="both"/>
              <w:rPr>
                <w:rFonts w:ascii="Lato" w:hAnsi="Lato"/>
                <w:b w:val="0"/>
                <w:bCs w:val="0"/>
                <w:sz w:val="22"/>
                <w:szCs w:val="22"/>
              </w:rPr>
            </w:pPr>
            <w:r w:rsidRPr="00F72ED7">
              <w:rPr>
                <w:rFonts w:ascii="Lato" w:hAnsi="Lato"/>
                <w:b w:val="0"/>
                <w:bCs w:val="0"/>
                <w:sz w:val="22"/>
                <w:szCs w:val="22"/>
              </w:rPr>
              <w:t>charges</w:t>
            </w:r>
            <w:r w:rsidRPr="00DC0539">
              <w:rPr>
                <w:rFonts w:ascii="Lato" w:hAnsi="Lato"/>
                <w:b w:val="0"/>
                <w:bCs w:val="0"/>
                <w:sz w:val="22"/>
                <w:szCs w:val="22"/>
              </w:rPr>
              <w:t xml:space="preserve"> </w:t>
            </w:r>
            <w:r w:rsidR="00E43ECB" w:rsidRPr="001D39EA">
              <w:rPr>
                <w:rFonts w:ascii="Lato" w:hAnsi="Lato"/>
                <w:b w:val="0"/>
                <w:bCs w:val="0"/>
                <w:sz w:val="22"/>
                <w:szCs w:val="22"/>
              </w:rPr>
              <w:t>with an opportunity for unitholders to redeem or otherwise exit the Qualifying Investor AIF, it shall ensure that votes in favour of the increase must represent at least 50% of the votes cast.</w:t>
            </w:r>
          </w:p>
        </w:tc>
        <w:tc>
          <w:tcPr>
            <w:tcW w:w="1258" w:type="dxa"/>
            <w:tcBorders>
              <w:top w:val="single" w:sz="4" w:space="0" w:color="auto"/>
              <w:left w:val="nil"/>
              <w:bottom w:val="nil"/>
              <w:right w:val="nil"/>
            </w:tcBorders>
          </w:tcPr>
          <w:p w:rsidR="00E43ECB" w:rsidRPr="001D39EA" w:rsidRDefault="00E43ECB">
            <w:pPr>
              <w:spacing w:line="240" w:lineRule="auto"/>
              <w:rPr>
                <w:rFonts w:ascii="Lato" w:hAnsi="Lato"/>
                <w:szCs w:val="22"/>
                <w:lang w:val="en-IE"/>
              </w:rPr>
            </w:pPr>
          </w:p>
        </w:tc>
      </w:tr>
      <w:tr w:rsidR="00FD725B" w:rsidRPr="00DC0539" w:rsidTr="00FD725B">
        <w:tc>
          <w:tcPr>
            <w:tcW w:w="986" w:type="dxa"/>
            <w:tcBorders>
              <w:top w:val="nil"/>
              <w:left w:val="nil"/>
              <w:bottom w:val="nil"/>
              <w:right w:val="nil"/>
            </w:tcBorders>
          </w:tcPr>
          <w:p w:rsidR="00FD725B" w:rsidRPr="001D39EA" w:rsidRDefault="00FD725B">
            <w:pPr>
              <w:spacing w:line="240" w:lineRule="auto"/>
              <w:rPr>
                <w:rFonts w:ascii="Lato" w:hAnsi="Lato"/>
                <w:szCs w:val="22"/>
                <w:lang w:val="en-IE"/>
              </w:rPr>
            </w:pPr>
          </w:p>
        </w:tc>
        <w:tc>
          <w:tcPr>
            <w:tcW w:w="8334" w:type="dxa"/>
            <w:tcBorders>
              <w:top w:val="nil"/>
              <w:left w:val="nil"/>
              <w:bottom w:val="nil"/>
              <w:right w:val="nil"/>
            </w:tcBorders>
          </w:tcPr>
          <w:p w:rsidR="00FD725B" w:rsidRPr="001D39EA" w:rsidRDefault="00FD725B">
            <w:pPr>
              <w:pStyle w:val="BodyTextIndent"/>
              <w:ind w:left="-5"/>
              <w:jc w:val="both"/>
              <w:rPr>
                <w:rFonts w:ascii="Lato" w:hAnsi="Lato"/>
                <w:b w:val="0"/>
                <w:bCs w:val="0"/>
                <w:sz w:val="22"/>
                <w:szCs w:val="22"/>
              </w:rPr>
            </w:pPr>
          </w:p>
        </w:tc>
        <w:tc>
          <w:tcPr>
            <w:tcW w:w="1258" w:type="dxa"/>
            <w:tcBorders>
              <w:top w:val="nil"/>
              <w:left w:val="nil"/>
              <w:bottom w:val="nil"/>
              <w:right w:val="nil"/>
            </w:tcBorders>
          </w:tcPr>
          <w:p w:rsidR="00FD725B" w:rsidRPr="001D39EA" w:rsidRDefault="00FD725B">
            <w:pPr>
              <w:spacing w:line="240" w:lineRule="auto"/>
              <w:rPr>
                <w:rFonts w:ascii="Lato" w:hAnsi="Lato"/>
                <w:szCs w:val="22"/>
                <w:lang w:val="en-IE"/>
              </w:rPr>
            </w:pPr>
          </w:p>
        </w:tc>
      </w:tr>
      <w:tr w:rsidR="00FD725B" w:rsidRPr="00DC0539" w:rsidTr="00FD725B">
        <w:tc>
          <w:tcPr>
            <w:tcW w:w="986"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1D39EA" w:rsidRDefault="00FD725B" w:rsidP="00FD725B">
            <w:pPr>
              <w:spacing w:line="240" w:lineRule="auto"/>
              <w:jc w:val="both"/>
              <w:rPr>
                <w:rFonts w:ascii="Lato" w:hAnsi="Lato"/>
                <w:szCs w:val="22"/>
              </w:rPr>
            </w:pPr>
            <w:r w:rsidRPr="001D39EA">
              <w:rPr>
                <w:rFonts w:ascii="Lato" w:hAnsi="Lato"/>
                <w:szCs w:val="22"/>
              </w:rPr>
              <w:t>Note: the annual fee includes any performance related fee</w:t>
            </w:r>
          </w:p>
        </w:tc>
        <w:tc>
          <w:tcPr>
            <w:tcW w:w="1258"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r>
      <w:tr w:rsidR="00FD725B" w:rsidRPr="00DC0539" w:rsidTr="00FD725B">
        <w:tc>
          <w:tcPr>
            <w:tcW w:w="986"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1D39EA" w:rsidRDefault="00FD725B" w:rsidP="00881793">
            <w:pPr>
              <w:spacing w:line="240" w:lineRule="auto"/>
              <w:jc w:val="both"/>
              <w:rPr>
                <w:rFonts w:ascii="Lato" w:hAnsi="Lato"/>
                <w:szCs w:val="22"/>
              </w:rPr>
            </w:pPr>
            <w:r w:rsidRPr="001D39EA">
              <w:rPr>
                <w:rFonts w:ascii="Lato" w:hAnsi="Lato"/>
                <w:szCs w:val="22"/>
              </w:rPr>
              <w:t>charged by the AIFM, management company or the investment manager</w:t>
            </w:r>
          </w:p>
        </w:tc>
        <w:tc>
          <w:tcPr>
            <w:tcW w:w="1258"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r>
      <w:tr w:rsidR="00FD725B" w:rsidRPr="00DC0539" w:rsidTr="00FD725B">
        <w:tc>
          <w:tcPr>
            <w:tcW w:w="986"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1D39EA" w:rsidRDefault="00FD725B" w:rsidP="00FD725B">
            <w:pPr>
              <w:spacing w:line="240" w:lineRule="auto"/>
              <w:jc w:val="both"/>
              <w:rPr>
                <w:rFonts w:ascii="Lato" w:hAnsi="Lato"/>
                <w:szCs w:val="22"/>
              </w:rPr>
            </w:pPr>
            <w:r w:rsidRPr="001D39EA">
              <w:rPr>
                <w:rFonts w:ascii="Lato" w:hAnsi="Lato"/>
                <w:szCs w:val="22"/>
              </w:rPr>
              <w:t>Note: if the fee disclosed in the prospectus is less than the maximum fee permitted in the constitutional documents, unitholder approval will also be required for an</w:t>
            </w:r>
          </w:p>
        </w:tc>
        <w:tc>
          <w:tcPr>
            <w:tcW w:w="1258"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r>
      <w:tr w:rsidR="00FD725B" w:rsidRPr="00DC0539" w:rsidTr="00FD725B">
        <w:tc>
          <w:tcPr>
            <w:tcW w:w="986"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1D39EA" w:rsidRDefault="00FD725B" w:rsidP="00FD725B">
            <w:pPr>
              <w:spacing w:line="240" w:lineRule="auto"/>
              <w:jc w:val="both"/>
              <w:rPr>
                <w:rFonts w:ascii="Lato" w:hAnsi="Lato"/>
                <w:szCs w:val="22"/>
              </w:rPr>
            </w:pPr>
            <w:r w:rsidRPr="001D39EA">
              <w:rPr>
                <w:rFonts w:ascii="Lato" w:hAnsi="Lato"/>
                <w:szCs w:val="22"/>
              </w:rPr>
              <w:t>increase in the fee disclosed in the prospectus unless the prospectus also provides that a higher fee may be charged</w:t>
            </w:r>
          </w:p>
        </w:tc>
        <w:tc>
          <w:tcPr>
            <w:tcW w:w="1258" w:type="dxa"/>
            <w:tcBorders>
              <w:top w:val="nil"/>
              <w:left w:val="nil"/>
              <w:bottom w:val="nil"/>
              <w:right w:val="nil"/>
            </w:tcBorders>
          </w:tcPr>
          <w:p w:rsidR="00FD725B" w:rsidRPr="001D39EA" w:rsidRDefault="00FD725B" w:rsidP="00FD725B">
            <w:pPr>
              <w:spacing w:line="240" w:lineRule="auto"/>
              <w:rPr>
                <w:rFonts w:ascii="Lato" w:hAnsi="Lato"/>
                <w:szCs w:val="22"/>
                <w:lang w:val="en-IE"/>
              </w:rPr>
            </w:pPr>
          </w:p>
        </w:tc>
      </w:tr>
      <w:tr w:rsidR="003146EE" w:rsidRPr="00DC0539" w:rsidTr="00FD725B">
        <w:tc>
          <w:tcPr>
            <w:tcW w:w="986" w:type="dxa"/>
            <w:tcBorders>
              <w:top w:val="nil"/>
              <w:left w:val="nil"/>
              <w:bottom w:val="nil"/>
              <w:right w:val="nil"/>
            </w:tcBorders>
          </w:tcPr>
          <w:p w:rsidR="003146EE" w:rsidRPr="001D39EA" w:rsidRDefault="003146EE" w:rsidP="00FD725B">
            <w:pPr>
              <w:spacing w:line="240" w:lineRule="auto"/>
              <w:rPr>
                <w:rFonts w:ascii="Lato" w:hAnsi="Lato"/>
                <w:szCs w:val="22"/>
                <w:lang w:val="en-IE"/>
              </w:rPr>
            </w:pPr>
          </w:p>
        </w:tc>
        <w:tc>
          <w:tcPr>
            <w:tcW w:w="8334" w:type="dxa"/>
            <w:tcBorders>
              <w:top w:val="nil"/>
              <w:left w:val="nil"/>
              <w:bottom w:val="nil"/>
              <w:right w:val="nil"/>
            </w:tcBorders>
          </w:tcPr>
          <w:p w:rsidR="003146EE" w:rsidRPr="001D39EA" w:rsidRDefault="003146EE" w:rsidP="00FD725B">
            <w:pPr>
              <w:spacing w:line="240" w:lineRule="auto"/>
              <w:jc w:val="both"/>
              <w:rPr>
                <w:rFonts w:ascii="Lato" w:hAnsi="Lato"/>
                <w:szCs w:val="22"/>
              </w:rPr>
            </w:pPr>
          </w:p>
        </w:tc>
        <w:tc>
          <w:tcPr>
            <w:tcW w:w="1258" w:type="dxa"/>
            <w:tcBorders>
              <w:top w:val="nil"/>
              <w:left w:val="nil"/>
              <w:bottom w:val="nil"/>
              <w:right w:val="nil"/>
            </w:tcBorders>
          </w:tcPr>
          <w:p w:rsidR="003146EE" w:rsidRPr="001D39EA" w:rsidRDefault="003146EE" w:rsidP="00FD725B">
            <w:pPr>
              <w:spacing w:line="240" w:lineRule="auto"/>
              <w:rPr>
                <w:rFonts w:ascii="Lato" w:hAnsi="Lato"/>
                <w:szCs w:val="22"/>
                <w:lang w:val="en-IE"/>
              </w:rPr>
            </w:pPr>
          </w:p>
        </w:tc>
      </w:tr>
      <w:tr w:rsidR="003146EE" w:rsidRPr="00DC0539" w:rsidTr="00FD725B">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r>
              <w:rPr>
                <w:rFonts w:ascii="Lato" w:hAnsi="Lato"/>
                <w:szCs w:val="22"/>
              </w:rPr>
              <w:t>3.17.3</w:t>
            </w: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r w:rsidRPr="00307E2E">
              <w:rPr>
                <w:rFonts w:ascii="Lato" w:hAnsi="Lato"/>
                <w:szCs w:val="22"/>
                <w:u w:val="single"/>
              </w:rPr>
              <w:t>Share class features of closed-ended Qualifying Investor AIFs</w:t>
            </w:r>
          </w:p>
        </w:tc>
        <w:tc>
          <w:tcPr>
            <w:tcW w:w="1258"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r>
      <w:tr w:rsidR="003146EE" w:rsidRPr="00DC0539" w:rsidTr="00FD725B">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r w:rsidRPr="00B132FE">
              <w:rPr>
                <w:rFonts w:ascii="Lato" w:hAnsi="Lato"/>
                <w:szCs w:val="22"/>
              </w:rPr>
              <w:t xml:space="preserve"> (“CE QIAIF</w:t>
            </w:r>
            <w:r>
              <w:rPr>
                <w:rFonts w:ascii="Lato" w:hAnsi="Lato"/>
                <w:szCs w:val="22"/>
              </w:rPr>
              <w:t>s</w:t>
            </w:r>
            <w:r w:rsidRPr="00B132FE">
              <w:rPr>
                <w:rFonts w:ascii="Lato" w:hAnsi="Lato"/>
                <w:szCs w:val="22"/>
              </w:rPr>
              <w:t>”) which typically invest in illiquid assets.</w:t>
            </w:r>
          </w:p>
        </w:tc>
        <w:tc>
          <w:tcPr>
            <w:tcW w:w="1258"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r>
      <w:tr w:rsidR="003146EE" w:rsidRPr="00DC0539" w:rsidTr="00FD725B">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p>
        </w:tc>
        <w:tc>
          <w:tcPr>
            <w:tcW w:w="1258"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r>
      <w:tr w:rsidR="003146EE" w:rsidRPr="00DC0539" w:rsidTr="001E2108">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r>
              <w:rPr>
                <w:rFonts w:ascii="Lato" w:hAnsi="Lato"/>
                <w:szCs w:val="22"/>
              </w:rPr>
              <w:t>i)</w:t>
            </w: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r>
              <w:rPr>
                <w:rFonts w:ascii="Lato" w:hAnsi="Lato"/>
                <w:szCs w:val="22"/>
              </w:rPr>
              <w:t>Where a</w:t>
            </w:r>
            <w:r w:rsidRPr="00B132FE">
              <w:rPr>
                <w:rFonts w:ascii="Lato" w:hAnsi="Lato"/>
                <w:szCs w:val="22"/>
              </w:rPr>
              <w:t xml:space="preserve"> CE QIAIF</w:t>
            </w:r>
            <w:r>
              <w:rPr>
                <w:rFonts w:ascii="Lato" w:hAnsi="Lato"/>
                <w:szCs w:val="22"/>
              </w:rPr>
              <w:t xml:space="preserve"> </w:t>
            </w:r>
            <w:r w:rsidRPr="00B132FE">
              <w:rPr>
                <w:rFonts w:ascii="Lato" w:hAnsi="Lato"/>
                <w:szCs w:val="22"/>
              </w:rPr>
              <w:t>provide</w:t>
            </w:r>
            <w:r>
              <w:rPr>
                <w:rFonts w:ascii="Lato" w:hAnsi="Lato"/>
                <w:szCs w:val="22"/>
              </w:rPr>
              <w:t>s</w:t>
            </w:r>
            <w:r w:rsidRPr="00B132FE">
              <w:rPr>
                <w:rFonts w:ascii="Lato" w:hAnsi="Lato"/>
                <w:szCs w:val="22"/>
              </w:rPr>
              <w:t xml:space="preserve"> for a share class w</w:t>
            </w:r>
            <w:r>
              <w:rPr>
                <w:rFonts w:ascii="Lato" w:hAnsi="Lato"/>
                <w:szCs w:val="22"/>
              </w:rPr>
              <w:t xml:space="preserve">hich can </w:t>
            </w:r>
            <w:r w:rsidRPr="00B132FE">
              <w:rPr>
                <w:rFonts w:ascii="Lato" w:hAnsi="Lato"/>
                <w:szCs w:val="22"/>
              </w:rPr>
              <w:t>issue of shares at a price other than net asset value without prior approval of the Central Bank</w:t>
            </w:r>
            <w:r>
              <w:rPr>
                <w:rFonts w:ascii="Lato" w:hAnsi="Lato"/>
                <w:szCs w:val="22"/>
              </w:rPr>
              <w:t xml:space="preserve">, include </w:t>
            </w:r>
            <w:r w:rsidRPr="00B132FE">
              <w:rPr>
                <w:rFonts w:ascii="Lato" w:hAnsi="Lato"/>
                <w:szCs w:val="22"/>
              </w:rPr>
              <w:t>excuse and exclude provisions</w:t>
            </w:r>
            <w:r>
              <w:rPr>
                <w:rFonts w:ascii="Lato" w:hAnsi="Lato"/>
                <w:szCs w:val="22"/>
              </w:rPr>
              <w:t xml:space="preserve">, permit </w:t>
            </w:r>
            <w:r w:rsidRPr="00B132FE">
              <w:rPr>
                <w:rFonts w:ascii="Lato" w:hAnsi="Lato"/>
                <w:szCs w:val="22"/>
              </w:rPr>
              <w:t>stage investing; and</w:t>
            </w:r>
            <w:r>
              <w:rPr>
                <w:rFonts w:ascii="Lato" w:hAnsi="Lato"/>
                <w:szCs w:val="22"/>
              </w:rPr>
              <w:t>/or allows for</w:t>
            </w:r>
            <w:r w:rsidRPr="00B132FE">
              <w:rPr>
                <w:rFonts w:ascii="Lato" w:hAnsi="Lato"/>
                <w:szCs w:val="22"/>
              </w:rPr>
              <w:t xml:space="preserve"> management participation and to allocate the returns of a specific asset to that sha</w:t>
            </w:r>
            <w:r>
              <w:rPr>
                <w:rFonts w:ascii="Lato" w:hAnsi="Lato"/>
                <w:szCs w:val="22"/>
              </w:rPr>
              <w:t>re class:</w:t>
            </w:r>
          </w:p>
        </w:tc>
        <w:tc>
          <w:tcPr>
            <w:tcW w:w="1258" w:type="dxa"/>
            <w:tcBorders>
              <w:top w:val="nil"/>
              <w:left w:val="nil"/>
              <w:bottom w:val="single" w:sz="4" w:space="0" w:color="auto"/>
              <w:right w:val="nil"/>
            </w:tcBorders>
          </w:tcPr>
          <w:p w:rsidR="003146EE" w:rsidRPr="001D39EA" w:rsidRDefault="003146EE" w:rsidP="003146EE">
            <w:pPr>
              <w:spacing w:line="240" w:lineRule="auto"/>
              <w:rPr>
                <w:rFonts w:ascii="Lato" w:hAnsi="Lato"/>
                <w:szCs w:val="22"/>
                <w:lang w:val="en-IE"/>
              </w:rPr>
            </w:pPr>
          </w:p>
        </w:tc>
      </w:tr>
      <w:tr w:rsidR="003146EE" w:rsidRPr="00DC0539" w:rsidTr="001E2108">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single" w:sz="4" w:space="0" w:color="auto"/>
            </w:tcBorders>
          </w:tcPr>
          <w:p w:rsidR="003146EE" w:rsidRPr="001E2108" w:rsidRDefault="003146EE" w:rsidP="001E2108">
            <w:pPr>
              <w:pStyle w:val="ListParagraph"/>
              <w:numPr>
                <w:ilvl w:val="0"/>
                <w:numId w:val="31"/>
              </w:numPr>
              <w:spacing w:line="240" w:lineRule="auto"/>
              <w:jc w:val="both"/>
              <w:rPr>
                <w:rFonts w:ascii="Lato" w:hAnsi="Lato"/>
                <w:szCs w:val="22"/>
              </w:rPr>
            </w:pPr>
            <w:r w:rsidRPr="001E2108">
              <w:rPr>
                <w:rFonts w:ascii="Lato" w:hAnsi="Lato"/>
                <w:szCs w:val="22"/>
              </w:rPr>
              <w:t xml:space="preserve">disclose the ability to establish share classes providing for the features; and </w:t>
            </w:r>
          </w:p>
        </w:tc>
        <w:tc>
          <w:tcPr>
            <w:tcW w:w="1258" w:type="dxa"/>
            <w:tcBorders>
              <w:top w:val="single" w:sz="4" w:space="0" w:color="auto"/>
              <w:left w:val="single" w:sz="4" w:space="0" w:color="auto"/>
              <w:bottom w:val="single" w:sz="4" w:space="0" w:color="auto"/>
              <w:right w:val="single" w:sz="4" w:space="0" w:color="auto"/>
            </w:tcBorders>
          </w:tcPr>
          <w:p w:rsidR="003146EE" w:rsidRPr="001D39EA" w:rsidRDefault="003146EE" w:rsidP="003146EE">
            <w:pPr>
              <w:spacing w:line="240" w:lineRule="auto"/>
              <w:rPr>
                <w:rFonts w:ascii="Lato" w:hAnsi="Lato"/>
                <w:szCs w:val="22"/>
                <w:lang w:val="en-IE"/>
              </w:rPr>
            </w:pPr>
          </w:p>
        </w:tc>
      </w:tr>
      <w:tr w:rsidR="003146EE" w:rsidRPr="00DC0539" w:rsidTr="001E2108">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single" w:sz="4" w:space="0" w:color="auto"/>
            </w:tcBorders>
          </w:tcPr>
          <w:p w:rsidR="003146EE" w:rsidRPr="001E2108" w:rsidRDefault="003146EE" w:rsidP="001E2108">
            <w:pPr>
              <w:pStyle w:val="ListParagraph"/>
              <w:numPr>
                <w:ilvl w:val="0"/>
                <w:numId w:val="31"/>
              </w:numPr>
              <w:spacing w:line="240" w:lineRule="auto"/>
              <w:jc w:val="both"/>
              <w:rPr>
                <w:rFonts w:ascii="Lato" w:hAnsi="Lato"/>
                <w:szCs w:val="22"/>
              </w:rPr>
            </w:pPr>
            <w:r w:rsidRPr="001E2108">
              <w:rPr>
                <w:rFonts w:ascii="Lato" w:hAnsi="Lato"/>
                <w:szCs w:val="22"/>
              </w:rPr>
              <w:t>confirm this has been disclosed to unitholders in advance.</w:t>
            </w:r>
          </w:p>
        </w:tc>
        <w:tc>
          <w:tcPr>
            <w:tcW w:w="1258" w:type="dxa"/>
            <w:tcBorders>
              <w:top w:val="single" w:sz="4" w:space="0" w:color="auto"/>
              <w:left w:val="single" w:sz="4" w:space="0" w:color="auto"/>
              <w:bottom w:val="single" w:sz="4" w:space="0" w:color="auto"/>
              <w:right w:val="single" w:sz="4" w:space="0" w:color="auto"/>
            </w:tcBorders>
          </w:tcPr>
          <w:p w:rsidR="003146EE" w:rsidRPr="001D39EA" w:rsidRDefault="003146EE" w:rsidP="003146EE">
            <w:pPr>
              <w:spacing w:line="240" w:lineRule="auto"/>
              <w:rPr>
                <w:rFonts w:ascii="Lato" w:hAnsi="Lato"/>
                <w:szCs w:val="22"/>
                <w:lang w:val="en-IE"/>
              </w:rPr>
            </w:pPr>
          </w:p>
        </w:tc>
      </w:tr>
      <w:tr w:rsidR="003146EE" w:rsidRPr="00DC0539" w:rsidTr="001E2108">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p>
        </w:tc>
        <w:tc>
          <w:tcPr>
            <w:tcW w:w="1258" w:type="dxa"/>
            <w:tcBorders>
              <w:top w:val="single" w:sz="4" w:space="0" w:color="auto"/>
              <w:left w:val="nil"/>
              <w:bottom w:val="single" w:sz="4" w:space="0" w:color="auto"/>
              <w:right w:val="nil"/>
            </w:tcBorders>
          </w:tcPr>
          <w:p w:rsidR="003146EE" w:rsidRPr="001D39EA" w:rsidRDefault="003146EE" w:rsidP="003146EE">
            <w:pPr>
              <w:spacing w:line="240" w:lineRule="auto"/>
              <w:rPr>
                <w:rFonts w:ascii="Lato" w:hAnsi="Lato"/>
                <w:szCs w:val="22"/>
                <w:lang w:val="en-IE"/>
              </w:rPr>
            </w:pPr>
          </w:p>
        </w:tc>
      </w:tr>
      <w:tr w:rsidR="003146EE" w:rsidRPr="00DC0539" w:rsidTr="001E2108">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r>
              <w:rPr>
                <w:rFonts w:ascii="Lato" w:hAnsi="Lato"/>
                <w:szCs w:val="22"/>
              </w:rPr>
              <w:t>ii)</w:t>
            </w:r>
          </w:p>
        </w:tc>
        <w:tc>
          <w:tcPr>
            <w:tcW w:w="8334" w:type="dxa"/>
            <w:tcBorders>
              <w:top w:val="nil"/>
              <w:left w:val="nil"/>
              <w:bottom w:val="nil"/>
              <w:right w:val="single" w:sz="4" w:space="0" w:color="auto"/>
            </w:tcBorders>
          </w:tcPr>
          <w:p w:rsidR="003146EE" w:rsidRPr="001D39EA" w:rsidRDefault="003146EE" w:rsidP="003146EE">
            <w:pPr>
              <w:spacing w:line="240" w:lineRule="auto"/>
              <w:jc w:val="both"/>
              <w:rPr>
                <w:rFonts w:ascii="Lato" w:hAnsi="Lato"/>
                <w:szCs w:val="22"/>
              </w:rPr>
            </w:pPr>
            <w:r>
              <w:rPr>
                <w:rFonts w:ascii="Lato" w:hAnsi="Lato"/>
                <w:szCs w:val="22"/>
              </w:rPr>
              <w:t xml:space="preserve">Where a </w:t>
            </w:r>
            <w:r w:rsidRPr="00045CB0">
              <w:rPr>
                <w:rFonts w:ascii="Lato" w:hAnsi="Lato"/>
                <w:szCs w:val="22"/>
              </w:rPr>
              <w:t xml:space="preserve">CE QIAIF may facilitate excuse provisions (which enable an investor to be </w:t>
            </w:r>
          </w:p>
        </w:tc>
        <w:tc>
          <w:tcPr>
            <w:tcW w:w="1258" w:type="dxa"/>
            <w:tcBorders>
              <w:top w:val="single" w:sz="4" w:space="0" w:color="auto"/>
              <w:left w:val="single" w:sz="4" w:space="0" w:color="auto"/>
              <w:bottom w:val="single" w:sz="4" w:space="0" w:color="auto"/>
              <w:right w:val="single" w:sz="4" w:space="0" w:color="auto"/>
            </w:tcBorders>
          </w:tcPr>
          <w:p w:rsidR="003146EE" w:rsidRPr="001D39EA" w:rsidRDefault="003146EE" w:rsidP="003146EE">
            <w:pPr>
              <w:spacing w:line="240" w:lineRule="auto"/>
              <w:rPr>
                <w:rFonts w:ascii="Lato" w:hAnsi="Lato"/>
                <w:szCs w:val="22"/>
                <w:lang w:val="en-IE"/>
              </w:rPr>
            </w:pPr>
          </w:p>
        </w:tc>
      </w:tr>
      <w:tr w:rsidR="003146EE" w:rsidRPr="00DC0539" w:rsidTr="001E2108">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r w:rsidRPr="00045CB0">
              <w:rPr>
                <w:rFonts w:ascii="Lato" w:hAnsi="Lato"/>
                <w:szCs w:val="22"/>
              </w:rPr>
              <w:t>excused from an investment that the CE QIAIF proposes to make) and / or exclude provisions</w:t>
            </w:r>
            <w:r>
              <w:rPr>
                <w:rFonts w:ascii="Lato" w:hAnsi="Lato"/>
                <w:szCs w:val="22"/>
              </w:rPr>
              <w:t xml:space="preserve"> </w:t>
            </w:r>
            <w:r w:rsidRPr="00045CB0">
              <w:rPr>
                <w:rFonts w:ascii="Lato" w:hAnsi="Lato"/>
                <w:szCs w:val="22"/>
              </w:rPr>
              <w:t xml:space="preserve">(which permits the CE QIAIF to exclude an investor from a proposed investment that the CE </w:t>
            </w:r>
            <w:r>
              <w:rPr>
                <w:rFonts w:ascii="Lato" w:hAnsi="Lato"/>
                <w:szCs w:val="22"/>
              </w:rPr>
              <w:t>QIAIF proposes to make), disclose the circumstances in which this may occur.</w:t>
            </w:r>
          </w:p>
        </w:tc>
        <w:tc>
          <w:tcPr>
            <w:tcW w:w="1258" w:type="dxa"/>
            <w:tcBorders>
              <w:top w:val="single" w:sz="4" w:space="0" w:color="auto"/>
              <w:left w:val="nil"/>
              <w:bottom w:val="nil"/>
              <w:right w:val="nil"/>
            </w:tcBorders>
          </w:tcPr>
          <w:p w:rsidR="003146EE" w:rsidRPr="001D39EA" w:rsidRDefault="003146EE" w:rsidP="003146EE">
            <w:pPr>
              <w:spacing w:line="240" w:lineRule="auto"/>
              <w:rPr>
                <w:rFonts w:ascii="Lato" w:hAnsi="Lato"/>
                <w:szCs w:val="22"/>
                <w:lang w:val="en-IE"/>
              </w:rPr>
            </w:pPr>
          </w:p>
        </w:tc>
      </w:tr>
      <w:tr w:rsidR="003146EE" w:rsidRPr="00DC0539" w:rsidTr="00FD725B">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p>
        </w:tc>
        <w:tc>
          <w:tcPr>
            <w:tcW w:w="1258"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r>
      <w:tr w:rsidR="003146EE" w:rsidRPr="00DC0539" w:rsidTr="00FD725B">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nil"/>
              <w:left w:val="nil"/>
              <w:bottom w:val="nil"/>
              <w:right w:val="nil"/>
            </w:tcBorders>
          </w:tcPr>
          <w:p w:rsidR="003146EE" w:rsidRPr="001D39EA" w:rsidRDefault="003146EE" w:rsidP="003146EE">
            <w:pPr>
              <w:spacing w:line="240" w:lineRule="auto"/>
              <w:jc w:val="both"/>
              <w:rPr>
                <w:rFonts w:ascii="Lato" w:hAnsi="Lato"/>
                <w:szCs w:val="22"/>
              </w:rPr>
            </w:pPr>
          </w:p>
        </w:tc>
        <w:tc>
          <w:tcPr>
            <w:tcW w:w="1258"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r>
      <w:tr w:rsidR="003146EE" w:rsidRPr="00DC0539" w:rsidTr="001F30BF">
        <w:trPr>
          <w:cantSplit/>
          <w:trHeight w:val="254"/>
        </w:trPr>
        <w:tc>
          <w:tcPr>
            <w:tcW w:w="986" w:type="dxa"/>
            <w:tcBorders>
              <w:top w:val="nil"/>
              <w:left w:val="nil"/>
              <w:bottom w:val="nil"/>
              <w:right w:val="single" w:sz="4" w:space="0" w:color="auto"/>
            </w:tcBorders>
          </w:tcPr>
          <w:p w:rsidR="003146EE" w:rsidRPr="001D39EA" w:rsidRDefault="003146EE" w:rsidP="003146EE">
            <w:pPr>
              <w:spacing w:line="240" w:lineRule="auto"/>
              <w:rPr>
                <w:rFonts w:ascii="Lato" w:hAnsi="Lato"/>
                <w:b/>
                <w:szCs w:val="22"/>
                <w:lang w:val="en-IE"/>
              </w:rPr>
            </w:pPr>
            <w:r w:rsidRPr="001D39EA">
              <w:rPr>
                <w:rFonts w:ascii="Lato" w:hAnsi="Lato"/>
                <w:b/>
                <w:szCs w:val="22"/>
                <w:lang w:val="en-IE"/>
              </w:rPr>
              <w:t>3.18</w:t>
            </w:r>
          </w:p>
        </w:tc>
        <w:tc>
          <w:tcPr>
            <w:tcW w:w="8334" w:type="dxa"/>
            <w:tcBorders>
              <w:top w:val="single" w:sz="4" w:space="0" w:color="auto"/>
              <w:left w:val="single" w:sz="4" w:space="0" w:color="auto"/>
              <w:bottom w:val="single" w:sz="4" w:space="0" w:color="auto"/>
              <w:right w:val="single" w:sz="4" w:space="0" w:color="auto"/>
            </w:tcBorders>
          </w:tcPr>
          <w:p w:rsidR="003146EE" w:rsidRPr="001D39EA" w:rsidRDefault="003146EE" w:rsidP="003146EE">
            <w:pPr>
              <w:pStyle w:val="BodyTextIndent"/>
              <w:ind w:left="-5"/>
              <w:jc w:val="both"/>
              <w:rPr>
                <w:rFonts w:ascii="Lato" w:hAnsi="Lato"/>
                <w:bCs w:val="0"/>
                <w:sz w:val="22"/>
                <w:szCs w:val="22"/>
              </w:rPr>
            </w:pPr>
            <w:r w:rsidRPr="001D39EA">
              <w:rPr>
                <w:rFonts w:ascii="Lato" w:hAnsi="Lato"/>
                <w:bCs w:val="0"/>
                <w:sz w:val="22"/>
                <w:szCs w:val="22"/>
              </w:rPr>
              <w:t>Transfer and reuse of assets</w:t>
            </w:r>
          </w:p>
        </w:tc>
        <w:tc>
          <w:tcPr>
            <w:tcW w:w="1258" w:type="dxa"/>
            <w:tcBorders>
              <w:top w:val="nil"/>
              <w:left w:val="single" w:sz="4" w:space="0" w:color="auto"/>
              <w:bottom w:val="nil"/>
              <w:right w:val="nil"/>
            </w:tcBorders>
          </w:tcPr>
          <w:p w:rsidR="003146EE" w:rsidRPr="001D39EA" w:rsidRDefault="003146EE" w:rsidP="003146EE">
            <w:pPr>
              <w:spacing w:line="240" w:lineRule="auto"/>
              <w:rPr>
                <w:rFonts w:ascii="Lato" w:hAnsi="Lato"/>
                <w:b/>
                <w:szCs w:val="22"/>
                <w:lang w:val="en-IE"/>
              </w:rPr>
            </w:pPr>
          </w:p>
        </w:tc>
      </w:tr>
      <w:tr w:rsidR="003146EE" w:rsidRPr="00DC0539" w:rsidTr="0076188A">
        <w:trPr>
          <w:cantSplit/>
          <w:trHeight w:val="254"/>
        </w:trPr>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p>
        </w:tc>
        <w:tc>
          <w:tcPr>
            <w:tcW w:w="8334" w:type="dxa"/>
            <w:tcBorders>
              <w:top w:val="single" w:sz="4" w:space="0" w:color="auto"/>
              <w:left w:val="nil"/>
              <w:bottom w:val="nil"/>
              <w:right w:val="nil"/>
            </w:tcBorders>
          </w:tcPr>
          <w:p w:rsidR="003146EE" w:rsidRPr="001D39EA" w:rsidRDefault="003146EE" w:rsidP="003146EE">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3146EE" w:rsidRPr="001D39EA" w:rsidRDefault="003146EE" w:rsidP="003146EE">
            <w:pPr>
              <w:spacing w:line="240" w:lineRule="auto"/>
              <w:rPr>
                <w:rFonts w:ascii="Lato" w:hAnsi="Lato"/>
                <w:szCs w:val="22"/>
                <w:lang w:val="en-IE"/>
              </w:rPr>
            </w:pPr>
          </w:p>
        </w:tc>
      </w:tr>
      <w:tr w:rsidR="003146EE" w:rsidRPr="00DC0539" w:rsidTr="0076188A">
        <w:trPr>
          <w:cantSplit/>
          <w:trHeight w:val="254"/>
        </w:trPr>
        <w:tc>
          <w:tcPr>
            <w:tcW w:w="986" w:type="dxa"/>
            <w:tcBorders>
              <w:top w:val="nil"/>
              <w:left w:val="nil"/>
              <w:bottom w:val="nil"/>
              <w:right w:val="nil"/>
            </w:tcBorders>
          </w:tcPr>
          <w:p w:rsidR="003146EE" w:rsidRPr="001D39EA" w:rsidRDefault="003146EE" w:rsidP="003146EE">
            <w:pPr>
              <w:spacing w:line="240" w:lineRule="auto"/>
              <w:rPr>
                <w:rFonts w:ascii="Lato" w:hAnsi="Lato"/>
                <w:szCs w:val="22"/>
                <w:lang w:val="en-IE"/>
              </w:rPr>
            </w:pPr>
            <w:r w:rsidRPr="001D39EA">
              <w:rPr>
                <w:rFonts w:ascii="Lato" w:hAnsi="Lato"/>
                <w:szCs w:val="22"/>
                <w:lang w:val="en-IE"/>
              </w:rPr>
              <w:t>3.18.1</w:t>
            </w:r>
          </w:p>
        </w:tc>
        <w:tc>
          <w:tcPr>
            <w:tcW w:w="8334" w:type="dxa"/>
            <w:tcBorders>
              <w:top w:val="nil"/>
              <w:left w:val="nil"/>
              <w:bottom w:val="nil"/>
              <w:right w:val="single" w:sz="4" w:space="0" w:color="auto"/>
            </w:tcBorders>
          </w:tcPr>
          <w:p w:rsidR="003146EE" w:rsidRPr="001D39EA" w:rsidRDefault="003146EE" w:rsidP="003146EE">
            <w:pPr>
              <w:pStyle w:val="BodyTextIndent"/>
              <w:ind w:left="-5"/>
              <w:jc w:val="both"/>
              <w:rPr>
                <w:rFonts w:ascii="Lato" w:hAnsi="Lato"/>
                <w:b w:val="0"/>
                <w:bCs w:val="0"/>
                <w:sz w:val="22"/>
                <w:szCs w:val="22"/>
              </w:rPr>
            </w:pPr>
            <w:r w:rsidRPr="001D39EA">
              <w:rPr>
                <w:rFonts w:ascii="Lato" w:hAnsi="Lato"/>
                <w:b w:val="0"/>
                <w:bCs w:val="0"/>
                <w:sz w:val="22"/>
                <w:szCs w:val="22"/>
              </w:rPr>
              <w:t xml:space="preserve">Where relevant provide for the possible transfer and reuse of the Qualifying Investor </w:t>
            </w:r>
          </w:p>
        </w:tc>
        <w:tc>
          <w:tcPr>
            <w:tcW w:w="1258" w:type="dxa"/>
            <w:tcBorders>
              <w:top w:val="single" w:sz="4" w:space="0" w:color="auto"/>
              <w:left w:val="single" w:sz="4" w:space="0" w:color="auto"/>
              <w:bottom w:val="single" w:sz="4" w:space="0" w:color="auto"/>
              <w:right w:val="single" w:sz="4" w:space="0" w:color="auto"/>
            </w:tcBorders>
          </w:tcPr>
          <w:p w:rsidR="003146EE" w:rsidRPr="001D39EA" w:rsidRDefault="003146EE" w:rsidP="003146EE">
            <w:pPr>
              <w:spacing w:line="240" w:lineRule="auto"/>
              <w:rPr>
                <w:rFonts w:ascii="Lato" w:hAnsi="Lato"/>
                <w:szCs w:val="22"/>
                <w:lang w:val="en-IE"/>
              </w:rPr>
            </w:pPr>
          </w:p>
        </w:tc>
      </w:tr>
      <w:tr w:rsidR="003146EE" w:rsidRPr="00DC0539" w:rsidTr="0076188A">
        <w:trPr>
          <w:cantSplit/>
          <w:trHeight w:val="254"/>
        </w:trPr>
        <w:tc>
          <w:tcPr>
            <w:tcW w:w="986" w:type="dxa"/>
            <w:tcBorders>
              <w:top w:val="nil"/>
              <w:left w:val="nil"/>
              <w:bottom w:val="nil"/>
              <w:right w:val="nil"/>
            </w:tcBorders>
          </w:tcPr>
          <w:p w:rsidR="003146EE" w:rsidRPr="001D39EA" w:rsidRDefault="003146EE" w:rsidP="003146EE">
            <w:pPr>
              <w:spacing w:line="240" w:lineRule="auto"/>
              <w:rPr>
                <w:rFonts w:ascii="Lato" w:hAnsi="Lato"/>
                <w:lang w:val="en-IE"/>
              </w:rPr>
            </w:pPr>
          </w:p>
        </w:tc>
        <w:tc>
          <w:tcPr>
            <w:tcW w:w="8334" w:type="dxa"/>
            <w:tcBorders>
              <w:top w:val="nil"/>
              <w:left w:val="nil"/>
              <w:bottom w:val="nil"/>
              <w:right w:val="nil"/>
            </w:tcBorders>
          </w:tcPr>
          <w:p w:rsidR="003146EE" w:rsidRPr="001D39EA" w:rsidRDefault="003146EE" w:rsidP="003146EE">
            <w:pPr>
              <w:pStyle w:val="BodyTextIndent"/>
              <w:ind w:left="-5"/>
              <w:jc w:val="both"/>
              <w:rPr>
                <w:rFonts w:ascii="Lato" w:hAnsi="Lato"/>
                <w:b w:val="0"/>
                <w:bCs w:val="0"/>
                <w:sz w:val="22"/>
              </w:rPr>
            </w:pPr>
            <w:r w:rsidRPr="00F72ED7">
              <w:rPr>
                <w:rFonts w:ascii="Lato" w:hAnsi="Lato"/>
                <w:b w:val="0"/>
                <w:bCs w:val="0"/>
                <w:sz w:val="22"/>
                <w:szCs w:val="22"/>
              </w:rPr>
              <w:t>AIF</w:t>
            </w:r>
            <w:r w:rsidRPr="00DC0539">
              <w:rPr>
                <w:rFonts w:ascii="Lato" w:hAnsi="Lato"/>
                <w:b w:val="0"/>
                <w:bCs w:val="0"/>
                <w:sz w:val="22"/>
                <w:szCs w:val="22"/>
              </w:rPr>
              <w:t xml:space="preserve"> </w:t>
            </w:r>
            <w:r w:rsidRPr="001D39EA">
              <w:rPr>
                <w:rFonts w:ascii="Lato" w:hAnsi="Lato"/>
                <w:b w:val="0"/>
                <w:bCs w:val="0"/>
                <w:sz w:val="22"/>
                <w:szCs w:val="22"/>
              </w:rPr>
              <w:t>assets</w:t>
            </w:r>
          </w:p>
        </w:tc>
        <w:tc>
          <w:tcPr>
            <w:tcW w:w="1258" w:type="dxa"/>
            <w:tcBorders>
              <w:top w:val="single" w:sz="4" w:space="0" w:color="auto"/>
              <w:left w:val="nil"/>
              <w:bottom w:val="nil"/>
              <w:right w:val="nil"/>
            </w:tcBorders>
          </w:tcPr>
          <w:p w:rsidR="003146EE" w:rsidRPr="001D39EA" w:rsidRDefault="003146EE" w:rsidP="003146EE">
            <w:pPr>
              <w:spacing w:line="240" w:lineRule="auto"/>
              <w:rPr>
                <w:rFonts w:ascii="Lato" w:hAnsi="Lato"/>
                <w:lang w:val="en-IE"/>
              </w:rPr>
            </w:pPr>
          </w:p>
        </w:tc>
      </w:tr>
    </w:tbl>
    <w:p w:rsidR="00F950B2" w:rsidRPr="001D39EA" w:rsidRDefault="00F950B2">
      <w:pPr>
        <w:spacing w:line="240" w:lineRule="auto"/>
        <w:rPr>
          <w:rFonts w:ascii="Lato" w:hAnsi="Lato"/>
        </w:rPr>
      </w:pPr>
    </w:p>
    <w:p w:rsidR="00F950B2" w:rsidRDefault="00F950B2">
      <w:pPr>
        <w:spacing w:line="240" w:lineRule="auto"/>
        <w:rPr>
          <w:rFonts w:ascii="Lato" w:hAnsi="Lato"/>
        </w:rPr>
      </w:pPr>
    </w:p>
    <w:p w:rsidR="002342C8" w:rsidRDefault="002342C8" w:rsidP="008A4E29">
      <w:pPr>
        <w:spacing w:line="276"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9" w:history="1">
        <w:r>
          <w:rPr>
            <w:rStyle w:val="Hyperlink"/>
            <w:rFonts w:ascii="Lato" w:hAnsi="Lato"/>
            <w:sz w:val="20"/>
            <w:lang w:val="en-US"/>
          </w:rPr>
          <w:t>www.centralbank.ie/fns/privacy-statement</w:t>
        </w:r>
      </w:hyperlink>
      <w:r>
        <w:rPr>
          <w:rFonts w:ascii="Lato" w:hAnsi="Lato"/>
          <w:sz w:val="20"/>
          <w:lang w:val="en-US"/>
        </w:rPr>
        <w:t>.</w:t>
      </w:r>
    </w:p>
    <w:p w:rsidR="002342C8" w:rsidRPr="001D39EA" w:rsidRDefault="002342C8">
      <w:pPr>
        <w:spacing w:line="240" w:lineRule="auto"/>
        <w:rPr>
          <w:rFonts w:ascii="Lato" w:hAnsi="Lato"/>
        </w:rPr>
        <w:sectPr w:rsidR="002342C8" w:rsidRPr="001D39EA">
          <w:pgSz w:w="11904" w:h="16834"/>
          <w:pgMar w:top="851" w:right="1800" w:bottom="1440" w:left="1800" w:header="142" w:footer="266" w:gutter="0"/>
          <w:cols w:space="708"/>
          <w:titlePg/>
        </w:sectPr>
      </w:pPr>
    </w:p>
    <w:p w:rsidR="006C2465" w:rsidRPr="001D39EA" w:rsidRDefault="006C4769" w:rsidP="006C2465">
      <w:pPr>
        <w:pStyle w:val="Noparagraphstyle"/>
        <w:suppressAutoHyphens/>
        <w:spacing w:after="227"/>
        <w:jc w:val="center"/>
        <w:rPr>
          <w:rFonts w:ascii="Lato" w:hAnsi="Lato" w:cs="HelveticaNeueLTStd-Lt"/>
          <w:color w:val="auto"/>
          <w:sz w:val="20"/>
        </w:rPr>
      </w:pPr>
      <w:r w:rsidRPr="001D39EA">
        <w:rPr>
          <w:rFonts w:ascii="Lato" w:hAnsi="Lato"/>
          <w:noProof/>
          <w:lang w:val="en-IE" w:eastAsia="en-IE"/>
        </w:rPr>
        <w:drawing>
          <wp:anchor distT="0" distB="0" distL="114300" distR="114300" simplePos="0" relativeHeight="251667968" behindDoc="1" locked="0" layoutInCell="1" allowOverlap="1" wp14:anchorId="3FD82389" wp14:editId="61D81E27">
            <wp:simplePos x="0" y="0"/>
            <wp:positionH relativeFrom="column">
              <wp:posOffset>-1190625</wp:posOffset>
            </wp:positionH>
            <wp:positionV relativeFrom="paragraph">
              <wp:posOffset>-990600</wp:posOffset>
            </wp:positionV>
            <wp:extent cx="7667625" cy="107442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67798" cy="10744442"/>
                    </a:xfrm>
                    <a:prstGeom prst="rect">
                      <a:avLst/>
                    </a:prstGeom>
                  </pic:spPr>
                </pic:pic>
              </a:graphicData>
            </a:graphic>
            <wp14:sizeRelH relativeFrom="margin">
              <wp14:pctWidth>0</wp14:pctWidth>
            </wp14:sizeRelH>
            <wp14:sizeRelV relativeFrom="margin">
              <wp14:pctHeight>0</wp14:pctHeight>
            </wp14:sizeRelV>
          </wp:anchor>
        </w:drawing>
      </w:r>
      <w:r w:rsidR="002E2536" w:rsidRPr="001D39EA">
        <w:rPr>
          <w:rFonts w:ascii="Lato" w:hAnsi="Lato"/>
          <w:noProof/>
          <w:color w:val="auto"/>
          <w:lang w:val="en-IE" w:eastAsia="en-IE"/>
        </w:rPr>
        <mc:AlternateContent>
          <mc:Choice Requires="wps">
            <w:drawing>
              <wp:anchor distT="0" distB="0" distL="114300" distR="114300" simplePos="0" relativeHeight="251661824" behindDoc="1" locked="0" layoutInCell="1" allowOverlap="1">
                <wp:simplePos x="0" y="0"/>
                <wp:positionH relativeFrom="column">
                  <wp:posOffset>-1186815</wp:posOffset>
                </wp:positionH>
                <wp:positionV relativeFrom="paragraph">
                  <wp:posOffset>-990600</wp:posOffset>
                </wp:positionV>
                <wp:extent cx="7658100" cy="11246485"/>
                <wp:effectExtent l="3810" t="0" r="0" b="254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246485"/>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F4A7" id="Rectangle 20" o:spid="_x0000_s1026" style="position:absolute;margin-left:-93.45pt;margin-top:-78pt;width:603pt;height:88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gAIAAP4EAAAOAAAAZHJzL2Uyb0RvYy54bWysVNuO2yAQfa/Uf0C8Z22nzsVWnNUmu6kq&#10;bdtVt/0AAjhGxUCBxNmt+u8dcJJN2j5UVf2AgRkOZ87MMLvetxLtuHVCqwpnVylGXFHNhNpU+Mvn&#10;1WCKkfNEMSK14hV+4g5fz1+/mnWm5EPdaMm4RQCiXNmZCjfemzJJHG14S9yVNlyBsda2JR6WdpMw&#10;SzpAb2UyTNNx0mnLjNWUOwe7t70RzyN+XXPqP9a14x7JCgM3H0cbx3UYk/mMlBtLTCPogQb5BxYt&#10;EQouPUHdEk/Q1orfoFpBrXa69ldUt4mua0F5jAGiydJfonlsiOExFhDHmZNM7v/B0g+7B4sEq3CO&#10;kSItpOgTiEbURnI0jPp0xpXg9mgebIjQmXtNvzqk9LIBN35jre4aThiwyoKeycWBsHBwFK2795oB&#10;PNl6HaXa17YNgCAC2seMPJ0ywvceUdicjEfTLIXEUbBl2TAf59NRvISUx/PGOv+W6xaFSYUt0I/4&#10;ZHfvfOBDyqNL5K+lYCshZVzYzXopLdoRqI83y8V4eXdAd+duUgVnpcOxHrHfAZpwR7AFwjHf3wtg&#10;mS6GxWA1nk4G+SofDYpJOh2kWbEoxmle5LerH4FglpeNYIyre6H4sfay/O9ye+iCvmpi9aGuwsVo&#10;OIqxX7B350Gm8ftTkK3w0IpStBWenpxIGVJ7p1hsFE+E7OfJJf2oMmhw/EdVYiGE3IdudOVasyeo&#10;A6shSZBReDRg0mj7jFEHDVhh921LLMdIvlNQS0WW56Fj4yIfTaAYkT23rM8tRFGAqrDHqJ8ufd/l&#10;W2PFpoGbsiiM0jdQf7WIhfHC6lC10GQxgsODELr4fB29Xp6t+U8AAAD//wMAUEsDBBQABgAIAAAA&#10;IQBMwkKY4gAAAA8BAAAPAAAAZHJzL2Rvd25yZXYueG1sTI/BasMwEETvhf6D2EBviaxATOJaDqE0&#10;9FIoTUJIb4q1tUytlbHk2P37yqfmNsM+Zmfy7WgbdsPO144kiEUCDKl0uqZKwum4n6+B+aBIq8YR&#10;SvhFD9vi8SFXmXYDfeLtECoWQ8hnSoIJoc0496VBq/zCtUjx9u06q0K0XcV1p4YYbhu+TJKUW1VT&#10;/GBUiy8Gy59DbyW8cfNxNl+v1C/xeH7f63FQFyPl02zcPQMLOIZ/GKb6sToUsdPV9aQ9ayTMxTrd&#10;RHZSqzTOmphEbASwa1SpWAngRc7vdxR/AAAA//8DAFBLAQItABQABgAIAAAAIQC2gziS/gAAAOEB&#10;AAATAAAAAAAAAAAAAAAAAAAAAABbQ29udGVudF9UeXBlc10ueG1sUEsBAi0AFAAGAAgAAAAhADj9&#10;If/WAAAAlAEAAAsAAAAAAAAAAAAAAAAALwEAAF9yZWxzLy5yZWxzUEsBAi0AFAAGAAgAAAAhAHv/&#10;d76AAgAA/gQAAA4AAAAAAAAAAAAAAAAALgIAAGRycy9lMm9Eb2MueG1sUEsBAi0AFAAGAAgAAAAh&#10;AEzCQpjiAAAADwEAAA8AAAAAAAAAAAAAAAAA2gQAAGRycy9kb3ducmV2LnhtbFBLBQYAAAAABAAE&#10;APMAAADpBQAAAAA=&#10;" fillcolor="#3cb6ce" stroked="f"/>
            </w:pict>
          </mc:Fallback>
        </mc:AlternateContent>
      </w:r>
      <w:r w:rsidR="002E2536" w:rsidRPr="001D39EA">
        <w:rPr>
          <w:rFonts w:ascii="Lato" w:hAnsi="Lato"/>
          <w:noProof/>
          <w:color w:val="auto"/>
          <w:lang w:val="en-IE" w:eastAsia="en-IE"/>
        </w:rPr>
        <mc:AlternateContent>
          <mc:Choice Requires="wps">
            <w:drawing>
              <wp:anchor distT="0" distB="0" distL="114300" distR="114300" simplePos="0" relativeHeight="251651584" behindDoc="0" locked="0" layoutInCell="1" allowOverlap="1">
                <wp:simplePos x="0" y="0"/>
                <wp:positionH relativeFrom="column">
                  <wp:posOffset>5537835</wp:posOffset>
                </wp:positionH>
                <wp:positionV relativeFrom="paragraph">
                  <wp:posOffset>9603740</wp:posOffset>
                </wp:positionV>
                <wp:extent cx="876300" cy="645160"/>
                <wp:effectExtent l="381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06" w:rsidRPr="006C2465" w:rsidRDefault="004E0906" w:rsidP="006C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36.05pt;margin-top:756.2pt;width:69pt;height:5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HMuAIAAL8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thmZ+h1CkoPPaiZEZ6hyi5S3d/L8ptGQq4aKrbsVik5NIxW4F1of/oXXycc&#10;bUE2w0dZgRm6M9IBjbXqbOogGQjQoUpPp8pYV0p4XMzj6wAkJYhiMgtjVzmfpsfPvdLmPZMdsocM&#10;Kyi8A6f7e22sMzQ9qlhbQha8bV3xW/HsARSnFzANX63MOuFq+TMJkvVivSAeieK1R4I8926LFfHi&#10;IpzP8ut8tcrDX9ZuSNKGVxUT1syRVyH5s7odGD4x4sQsLVteWTjrklbbzapVaE+B14VbLuUgOav5&#10;z91wSYBYXoQURiS4ixKviBdzjxRk5iXzYOEFYXKXxAFJSF48D+meC/bvIaEhw8ksmk1cOjv9IrbA&#10;rdex0bTjBiZHyztgx0mJppaBa1G50hrK2+l8kQrr/jkVUO5joR1fLUUnsppxM7rGIMc22MjqCQis&#10;JBAMuAhTDw6NVD8wGmCCZFh/31HFMGo/CGiCJCTEjhx3IbN5BBd1KdlcSqgoASrDBqPpuDLTmNr1&#10;im8bsDS1nZC30Dg1d6S2HTZ5dWg3mBIutsNEs2Po8u60znN3+RsAAP//AwBQSwMEFAAGAAgAAAAh&#10;AINnNKzhAAAADgEAAA8AAABkcnMvZG93bnJldi54bWxMj81OwzAQhO9IfQdrkbhRO1FaSohTVSCu&#10;oJYfiZsbb5OIeB3FbhPenu2p1V52NaPZb4r15DpxwiG0njQkcwUCqfK2pVrD58fr/QpEiIas6Tyh&#10;hj8MsC5nN4XJrR9pi6ddrAWHUMiNhibGPpcyVA06E+a+R2Lt4AdnIp9DLe1gRg53nUyVWkpnWuIP&#10;jenxucHqd3d0Gr7eDj/fmXqvX9yiH/2kJLlHqfXd7bR5AhFxihcznPEZHUpm2vsj2SA6DauHNGEr&#10;C4skzUCcLYoHxJ63ZZIpkGUhr2uU/wAAAP//AwBQSwECLQAUAAYACAAAACEAtoM4kv4AAADhAQAA&#10;EwAAAAAAAAAAAAAAAAAAAAAAW0NvbnRlbnRfVHlwZXNdLnhtbFBLAQItABQABgAIAAAAIQA4/SH/&#10;1gAAAJQBAAALAAAAAAAAAAAAAAAAAC8BAABfcmVscy8ucmVsc1BLAQItABQABgAIAAAAIQD9RlHM&#10;uAIAAL8FAAAOAAAAAAAAAAAAAAAAAC4CAABkcnMvZTJvRG9jLnhtbFBLAQItABQABgAIAAAAIQCD&#10;ZzSs4QAAAA4BAAAPAAAAAAAAAAAAAAAAABIFAABkcnMvZG93bnJldi54bWxQSwUGAAAAAAQABADz&#10;AAAAIAYAAAAA&#10;" filled="f" stroked="f">
                <v:textbox>
                  <w:txbxContent>
                    <w:p w:rsidR="004E0906" w:rsidRPr="006C2465" w:rsidRDefault="004E0906" w:rsidP="006C2465"/>
                  </w:txbxContent>
                </v:textbox>
              </v:shape>
            </w:pict>
          </mc:Fallback>
        </mc:AlternateContent>
      </w:r>
    </w:p>
    <w:p w:rsidR="0059394B" w:rsidRPr="00DC0539" w:rsidRDefault="0059394B" w:rsidP="0059394B">
      <w:pPr>
        <w:pStyle w:val="Noparagraphstyle"/>
        <w:suppressAutoHyphens/>
        <w:spacing w:after="227"/>
        <w:jc w:val="center"/>
        <w:rPr>
          <w:rFonts w:ascii="Lato" w:hAnsi="Lato" w:cs="HelveticaNeueLTStd-Lt"/>
          <w:color w:val="FFFFFF"/>
          <w:sz w:val="20"/>
        </w:rPr>
      </w:pPr>
      <w:r w:rsidRPr="00DC0539">
        <w:rPr>
          <w:rFonts w:ascii="Lato" w:hAnsi="Lato" w:cs="HelveticaNeueLTStd-Lt"/>
          <w:color w:val="FFFFFF"/>
          <w:sz w:val="20"/>
        </w:rPr>
        <w:t xml:space="preserve">T+353 1 224 6000      </w:t>
      </w:r>
      <w:r w:rsidRPr="001D39EA">
        <w:rPr>
          <w:rFonts w:ascii="Lato" w:hAnsi="Lato" w:cs="HelveticaNeueLTStd-Lt"/>
          <w:color w:val="FFFFFF"/>
          <w:sz w:val="20"/>
          <w:u w:val="single"/>
        </w:rPr>
        <w:t>www.centralbank.ie</w:t>
      </w:r>
      <w:r w:rsidRPr="00DC0539">
        <w:rPr>
          <w:rFonts w:ascii="Lato" w:hAnsi="Lato" w:cs="HelveticaNeueLTStd-Lt"/>
          <w:color w:val="FFFFFF"/>
          <w:sz w:val="20"/>
        </w:rPr>
        <w:t xml:space="preserve">      AIFauthorisations@centralbank.ie</w:t>
      </w:r>
    </w:p>
    <w:p w:rsidR="00F950B2" w:rsidRPr="001D39EA" w:rsidRDefault="00AC0B22" w:rsidP="0059394B">
      <w:pPr>
        <w:pStyle w:val="Header"/>
        <w:tabs>
          <w:tab w:val="clear" w:pos="4320"/>
          <w:tab w:val="clear" w:pos="8640"/>
        </w:tabs>
        <w:spacing w:line="240" w:lineRule="auto"/>
        <w:rPr>
          <w:rFonts w:ascii="Lato" w:hAnsi="Lato"/>
          <w:lang w:val="en-IE" w:eastAsia="en-IE"/>
        </w:rPr>
      </w:pPr>
      <w:r w:rsidRPr="001D39EA">
        <w:rPr>
          <w:rFonts w:ascii="Lato" w:hAnsi="Lato"/>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-986790</wp:posOffset>
                </wp:positionH>
                <wp:positionV relativeFrom="paragraph">
                  <wp:posOffset>8028940</wp:posOffset>
                </wp:positionV>
                <wp:extent cx="4457700" cy="914400"/>
                <wp:effectExtent l="3810" t="254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06" w:rsidRPr="001D39EA" w:rsidRDefault="004E0906" w:rsidP="00DC0539">
                            <w:pPr>
                              <w:pStyle w:val="Noparagraphstyle"/>
                              <w:suppressAutoHyphens/>
                              <w:ind w:left="113"/>
                              <w:rPr>
                                <w:rStyle w:val="HelvBold"/>
                                <w:rFonts w:ascii="Lato" w:hAnsi="Lato" w:cs="HelveticaNeueLTStd-Bd"/>
                                <w:bCs/>
                                <w:color w:val="FFFFFF"/>
                                <w:sz w:val="20"/>
                                <w:szCs w:val="20"/>
                              </w:rPr>
                            </w:pPr>
                            <w:r w:rsidRPr="001D39EA">
                              <w:rPr>
                                <w:rStyle w:val="HelvBold"/>
                                <w:rFonts w:ascii="Lato" w:hAnsi="Lato" w:cs="HelveticaNeueLTStd-Bd"/>
                                <w:bCs/>
                                <w:color w:val="FFFFFF"/>
                                <w:sz w:val="20"/>
                                <w:szCs w:val="20"/>
                              </w:rPr>
                              <w:t>Bosca PO 559, Baile Átha Cliath 1, Éire</w:t>
                            </w:r>
                          </w:p>
                          <w:p w:rsidR="004E0906" w:rsidRPr="001D39EA" w:rsidRDefault="004E0906" w:rsidP="00DC0539">
                            <w:pPr>
                              <w:pStyle w:val="Noparagraphstyle"/>
                              <w:suppressAutoHyphens/>
                              <w:ind w:left="113"/>
                              <w:rPr>
                                <w:rFonts w:ascii="Lato" w:hAnsi="Lato"/>
                                <w:color w:val="FFFFFF"/>
                                <w:sz w:val="20"/>
                                <w:szCs w:val="20"/>
                              </w:rPr>
                            </w:pPr>
                            <w:r w:rsidRPr="001D39EA">
                              <w:rPr>
                                <w:rStyle w:val="HelvBold"/>
                                <w:rFonts w:ascii="Lato" w:hAnsi="Lato" w:cs="HelveticaNeueLTStd-Bd"/>
                                <w:bCs/>
                                <w:color w:val="FFFFFF"/>
                                <w:sz w:val="20"/>
                                <w:szCs w:val="20"/>
                              </w:rPr>
                              <w:t>PO Box 559, Dublin 1, Ireland</w:t>
                            </w:r>
                          </w:p>
                          <w:p w:rsidR="004E0906" w:rsidRPr="001D39EA" w:rsidRDefault="004E0906" w:rsidP="0059394B">
                            <w:pPr>
                              <w:suppressAutoHyphens/>
                              <w:ind w:left="113"/>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77.7pt;margin-top:632.2pt;width:351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r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FSNAWWnTPBoNWckBRZMvTdzoBr7sO/MwA59BmR1V3t7L4ppGQ65qKHbtRSvY1oyWkF9qb/sXV&#10;EUdbkG3/UZYQh+6NdEBDpVpbO6gGAnRo08O5NTaXAg4Jmc7nAZgKsMUhIbC2IWhyut0pbd4z2SK7&#10;SLGC1jt0erjVZnQ9udhgQua8aeCcJo14dgCY4wnEhqvWZrNw3XyMg3iz2CyIR6LZxiNBlnk3+Zp4&#10;szycT7N32XqdhT9t3JAkNS9LJmyYk7JC8medO2p81MRZW1o2vLRwNiWtdtt1o9CBgrJz9x0LcuHm&#10;P0/D1Qu4vKAURiRYRbGXzxZzj+Rk6sXzYOEFYbyKZwGJSZY/p3TLBft3SqiHTk6j6Sim33IL3Pea&#10;G01abmB2NLxN8eLsRBMrwY0oXWsN5c24viiFTf+pFNDuU6OdYK1GR7WaYTscnwaAWTFvZfkAClYS&#10;BAZahLkHi1qqHxj1MENSrL/vqWIYNR8EvAKnUxg6bgMCjuCOurRsLy1UFACVYoPRuFybcVDtO8V3&#10;NUQa352QN/ByKu5E/ZTV8b3BnHDcjjPNDqLLvfN6mrzLXwAAAP//AwBQSwMEFAAGAAgAAAAhADe3&#10;M/3hAAAADgEAAA8AAABkcnMvZG93bnJldi54bWxMj81OwzAQhO9IvIO1SNxau5UTtSFOhUBcQZQf&#10;qTc33iYR8TqK3Sa8PcsJbrs7o9lvyt3se3HBMXaBDKyWCgRSHVxHjYH3t6fFBkRMlpztA6GBb4yw&#10;q66vSlu4MNErXvapERxCsbAG2pSGQspYt+htXIYBibVTGL1NvI6NdKOdONz3cq1ULr3tiD+0dsCH&#10;Fuuv/dkb+Hg+HT61emkefTZMYVaS/FYac3sz39+BSDinPzP84jM6VMx0DGdyUfQGFqss0+xlZZ1r&#10;ntiT6TwHceSTVhsNsirl/xrVDwAAAP//AwBQSwECLQAUAAYACAAAACEAtoM4kv4AAADhAQAAEwAA&#10;AAAAAAAAAAAAAAAAAAAAW0NvbnRlbnRfVHlwZXNdLnhtbFBLAQItABQABgAIAAAAIQA4/SH/1gAA&#10;AJQBAAALAAAAAAAAAAAAAAAAAC8BAABfcmVscy8ucmVsc1BLAQItABQABgAIAAAAIQBEv/xrtQIA&#10;AMEFAAAOAAAAAAAAAAAAAAAAAC4CAABkcnMvZTJvRG9jLnhtbFBLAQItABQABgAIAAAAIQA3tzP9&#10;4QAAAA4BAAAPAAAAAAAAAAAAAAAAAA8FAABkcnMvZG93bnJldi54bWxQSwUGAAAAAAQABADzAAAA&#10;HQYAAAAA&#10;" filled="f" stroked="f">
                <v:textbox>
                  <w:txbxContent>
                    <w:p w:rsidR="004E0906" w:rsidRPr="001D39EA" w:rsidRDefault="004E0906" w:rsidP="00DC0539">
                      <w:pPr>
                        <w:pStyle w:val="Noparagraphstyle"/>
                        <w:suppressAutoHyphens/>
                        <w:ind w:left="113"/>
                        <w:rPr>
                          <w:rStyle w:val="HelvBold"/>
                          <w:rFonts w:ascii="Lato" w:hAnsi="Lato" w:cs="HelveticaNeueLTStd-Bd"/>
                          <w:bCs/>
                          <w:color w:val="FFFFFF"/>
                          <w:sz w:val="20"/>
                          <w:szCs w:val="20"/>
                        </w:rPr>
                      </w:pPr>
                      <w:r w:rsidRPr="001D39EA">
                        <w:rPr>
                          <w:rStyle w:val="HelvBold"/>
                          <w:rFonts w:ascii="Lato" w:hAnsi="Lato" w:cs="HelveticaNeueLTStd-Bd"/>
                          <w:bCs/>
                          <w:color w:val="FFFFFF"/>
                          <w:sz w:val="20"/>
                          <w:szCs w:val="20"/>
                        </w:rPr>
                        <w:t>Bosca PO 559, Baile Átha Cliath 1, Éire</w:t>
                      </w:r>
                    </w:p>
                    <w:p w:rsidR="004E0906" w:rsidRPr="001D39EA" w:rsidRDefault="004E0906" w:rsidP="00DC0539">
                      <w:pPr>
                        <w:pStyle w:val="Noparagraphstyle"/>
                        <w:suppressAutoHyphens/>
                        <w:ind w:left="113"/>
                        <w:rPr>
                          <w:rFonts w:ascii="Lato" w:hAnsi="Lato"/>
                          <w:color w:val="FFFFFF"/>
                          <w:sz w:val="20"/>
                          <w:szCs w:val="20"/>
                        </w:rPr>
                      </w:pPr>
                      <w:r w:rsidRPr="001D39EA">
                        <w:rPr>
                          <w:rStyle w:val="HelvBold"/>
                          <w:rFonts w:ascii="Lato" w:hAnsi="Lato" w:cs="HelveticaNeueLTStd-Bd"/>
                          <w:bCs/>
                          <w:color w:val="FFFFFF"/>
                          <w:sz w:val="20"/>
                          <w:szCs w:val="20"/>
                        </w:rPr>
                        <w:t>PO Box 559, Dublin 1, Ireland</w:t>
                      </w:r>
                    </w:p>
                    <w:p w:rsidR="004E0906" w:rsidRPr="001D39EA" w:rsidRDefault="004E0906" w:rsidP="0059394B">
                      <w:pPr>
                        <w:suppressAutoHyphens/>
                        <w:ind w:left="113"/>
                        <w:rPr>
                          <w:color w:val="FFFFFF" w:themeColor="background1"/>
                        </w:rPr>
                      </w:pPr>
                    </w:p>
                  </w:txbxContent>
                </v:textbox>
              </v:shape>
            </w:pict>
          </mc:Fallback>
        </mc:AlternateContent>
      </w:r>
      <w:r w:rsidR="002E2536" w:rsidRPr="001D39EA">
        <w:rPr>
          <w:rFonts w:ascii="Lato" w:hAnsi="Lato"/>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06" w:rsidRPr="006C2465" w:rsidRDefault="004E0906" w:rsidP="006C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1.95pt;margin-top:531.2pt;width:126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9M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NKbH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n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NgPTLcC&#10;AADBBQAADgAAAAAAAAAAAAAAAAAuAgAAZHJzL2Uyb0RvYy54bWxQSwECLQAUAAYACAAAACEA7K/x&#10;deAAAAANAQAADwAAAAAAAAAAAAAAAAARBQAAZHJzL2Rvd25yZXYueG1sUEsFBgAAAAAEAAQA8wAA&#10;AB4GAAAAAA==&#10;" filled="f" stroked="f">
                <v:textbox>
                  <w:txbxContent>
                    <w:p w:rsidR="004E0906" w:rsidRPr="006C2465" w:rsidRDefault="004E0906" w:rsidP="006C2465"/>
                  </w:txbxContent>
                </v:textbox>
              </v:shape>
            </w:pict>
          </mc:Fallback>
        </mc:AlternateContent>
      </w:r>
    </w:p>
    <w:sectPr w:rsidR="00F950B2" w:rsidRPr="001D39EA">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23" w:rsidRDefault="00FA2323">
      <w:pPr>
        <w:spacing w:line="240" w:lineRule="auto"/>
      </w:pPr>
      <w:r>
        <w:separator/>
      </w:r>
    </w:p>
  </w:endnote>
  <w:endnote w:type="continuationSeparator" w:id="0">
    <w:p w:rsidR="00FA2323" w:rsidRDefault="00FA2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4E0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906" w:rsidRDefault="004E0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89" w:rsidRDefault="00641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4E0906">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4E0906">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4E0906">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23" w:rsidRDefault="00FA2323">
      <w:pPr>
        <w:spacing w:line="240" w:lineRule="auto"/>
      </w:pPr>
      <w:r>
        <w:separator/>
      </w:r>
    </w:p>
  </w:footnote>
  <w:footnote w:type="continuationSeparator" w:id="0">
    <w:p w:rsidR="00FA2323" w:rsidRDefault="00FA2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641A89" w:rsidP="00641A89">
    <w:pPr>
      <w:pStyle w:val="Header"/>
    </w:pPr>
    <w:fldSimple w:instr=" DOCPROPERTY bjHeaderEvenPageDocProperty \* MERGEFORMAT " w:fldLock="1">
      <w:r w:rsidRPr="00641A89">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641A89" w:rsidP="00641A89">
    <w:pPr>
      <w:pStyle w:val="Header"/>
      <w:rPr>
        <w:rFonts w:ascii="Lato" w:hAnsi="Lato"/>
        <w:noProof/>
        <w:lang w:val="en-IE" w:eastAsia="en-IE"/>
      </w:rPr>
    </w:pPr>
    <w:r>
      <w:rPr>
        <w:rFonts w:ascii="Lato" w:hAnsi="Lato"/>
        <w:noProof/>
        <w:lang w:val="en-IE" w:eastAsia="en-IE"/>
      </w:rPr>
      <w:fldChar w:fldCharType="begin" w:fldLock="1"/>
    </w:r>
    <w:r>
      <w:rPr>
        <w:rFonts w:ascii="Lato" w:hAnsi="Lato"/>
        <w:noProof/>
        <w:lang w:val="en-IE" w:eastAsia="en-IE"/>
      </w:rPr>
      <w:instrText xml:space="preserve"> DOCPROPERTY bjHeaderBothDocProperty \* MERGEFORMAT </w:instrText>
    </w:r>
    <w:r>
      <w:rPr>
        <w:rFonts w:ascii="Lato" w:hAnsi="Lato"/>
        <w:noProof/>
        <w:lang w:val="en-IE" w:eastAsia="en-IE"/>
      </w:rPr>
      <w:fldChar w:fldCharType="separate"/>
    </w:r>
    <w:r w:rsidRPr="00641A89">
      <w:rPr>
        <w:rFonts w:ascii="Times New Roman" w:hAnsi="Times New Roman"/>
        <w:noProof/>
        <w:color w:val="000000"/>
        <w:sz w:val="24"/>
        <w:lang w:val="en-IE" w:eastAsia="en-IE"/>
      </w:rPr>
      <w:t xml:space="preserve"> </w:t>
    </w:r>
    <w:r>
      <w:rPr>
        <w:rFonts w:ascii="Lato" w:hAnsi="Lato"/>
        <w:noProof/>
        <w:lang w:val="en-IE" w:eastAsia="en-IE"/>
      </w:rPr>
      <w:fldChar w:fldCharType="end"/>
    </w:r>
    <w:r w:rsidR="001D39EA" w:rsidRPr="001D39EA">
      <w:rPr>
        <w:rFonts w:ascii="Lato" w:hAnsi="Lato"/>
        <w:noProof/>
        <w:lang w:val="en-IE" w:eastAsia="en-IE"/>
      </w:rPr>
      <w:drawing>
        <wp:anchor distT="0" distB="0" distL="114300" distR="114300" simplePos="0" relativeHeight="251659264" behindDoc="1" locked="0" layoutInCell="1" allowOverlap="1" wp14:anchorId="6DBD3C85" wp14:editId="0FC7AE62">
          <wp:simplePos x="0" y="0"/>
          <wp:positionH relativeFrom="page">
            <wp:align>left</wp:align>
          </wp:positionH>
          <wp:positionV relativeFrom="paragraph">
            <wp:posOffset>-449580</wp:posOffset>
          </wp:positionV>
          <wp:extent cx="7588518" cy="110096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518" cy="11009630"/>
                  </a:xfrm>
                  <a:prstGeom prst="rect">
                    <a:avLst/>
                  </a:prstGeom>
                </pic:spPr>
              </pic:pic>
            </a:graphicData>
          </a:graphic>
          <wp14:sizeRelH relativeFrom="page">
            <wp14:pctWidth>0</wp14:pctWidth>
          </wp14:sizeRelH>
          <wp14:sizeRelV relativeFrom="page">
            <wp14:pctHeight>0</wp14:pctHeight>
          </wp14:sizeRelV>
        </wp:anchor>
      </w:drawing>
    </w:r>
  </w:p>
  <w:p w:rsidR="004E0906" w:rsidRDefault="004E0906" w:rsidP="00A32165">
    <w:pPr>
      <w:pStyle w:val="Header"/>
    </w:pPr>
    <w:r w:rsidRPr="0059751F">
      <w:rPr>
        <w:rFonts w:ascii="Lato" w:hAnsi="Lato"/>
        <w:noProof/>
        <w:lang w:val="en-IE"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641A89" w:rsidP="00641A89">
    <w:pPr>
      <w:pStyle w:val="Header"/>
      <w:ind w:left="-1701"/>
    </w:pPr>
    <w:fldSimple w:instr=" DOCPROPERTY bjHeaderFirstPageDocProperty \* MERGEFORMAT " w:fldLock="1">
      <w:r w:rsidRPr="00641A89">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4E0906" w:rsidRPr="00C46589" w:rsidTr="0059394B">
      <w:tc>
        <w:tcPr>
          <w:tcW w:w="1668" w:type="dxa"/>
          <w:tcBorders>
            <w:right w:val="single" w:sz="4" w:space="0" w:color="5B9BD5"/>
          </w:tcBorders>
          <w:shd w:val="clear" w:color="auto" w:fill="auto"/>
        </w:tcPr>
        <w:p w:rsidR="004E0906" w:rsidRPr="00C46589" w:rsidRDefault="004E0906" w:rsidP="00AC0B22">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E0906" w:rsidRPr="00C46589" w:rsidRDefault="004E0906" w:rsidP="00AC0B22">
          <w:pPr>
            <w:pStyle w:val="Header"/>
            <w:jc w:val="right"/>
            <w:rPr>
              <w:rFonts w:ascii="Lato" w:eastAsia="Lato" w:hAnsi="Lato"/>
              <w:sz w:val="14"/>
              <w:szCs w:val="14"/>
            </w:rPr>
          </w:pPr>
          <w:r>
            <w:rPr>
              <w:rFonts w:ascii="Lato" w:eastAsia="Lato" w:hAnsi="Lato"/>
              <w:sz w:val="14"/>
              <w:szCs w:val="14"/>
            </w:rPr>
            <w:t>Qualifying</w:t>
          </w:r>
          <w:r w:rsidRPr="00C46589">
            <w:rPr>
              <w:rFonts w:ascii="Lato" w:eastAsia="Lato" w:hAnsi="Lato"/>
              <w:sz w:val="14"/>
              <w:szCs w:val="14"/>
            </w:rPr>
            <w:t xml:space="preserve"> Investor AIF Application Form Section </w:t>
          </w:r>
          <w:r>
            <w:rPr>
              <w:rFonts w:ascii="Lato" w:eastAsia="Lato" w:hAnsi="Lato"/>
              <w:sz w:val="14"/>
              <w:szCs w:val="14"/>
            </w:rPr>
            <w:t>3 Instrument of Incorporation</w:t>
          </w:r>
        </w:p>
      </w:tc>
      <w:tc>
        <w:tcPr>
          <w:tcW w:w="906" w:type="dxa"/>
          <w:tcBorders>
            <w:left w:val="single" w:sz="4" w:space="0" w:color="5B9BD5"/>
          </w:tcBorders>
          <w:shd w:val="clear" w:color="auto" w:fill="auto"/>
        </w:tcPr>
        <w:p w:rsidR="004E0906" w:rsidRPr="00C46589" w:rsidRDefault="004E0906" w:rsidP="00AC0B22">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641A89">
            <w:rPr>
              <w:rFonts w:ascii="Lato" w:eastAsia="Lato" w:hAnsi="Lato"/>
              <w:noProof/>
              <w:sz w:val="14"/>
              <w:szCs w:val="14"/>
            </w:rPr>
            <w:t>11</w:t>
          </w:r>
          <w:r w:rsidRPr="00C46589">
            <w:rPr>
              <w:rFonts w:ascii="Lato" w:eastAsia="Lato" w:hAnsi="Lato"/>
              <w:noProof/>
              <w:sz w:val="14"/>
              <w:szCs w:val="14"/>
            </w:rPr>
            <w:fldChar w:fldCharType="end"/>
          </w:r>
        </w:p>
      </w:tc>
    </w:tr>
  </w:tbl>
  <w:p w:rsidR="004E0906" w:rsidRDefault="004E0906">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641A89" w:rsidP="00641A89">
    <w:fldSimple w:instr=" DOCPROPERTY bjHeaderBothDocProperty \* MERGEFORMAT " w:fldLock="1">
      <w:r w:rsidRPr="00641A89">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4E0906" w:rsidRPr="00C46589" w:rsidTr="0059394B">
      <w:tc>
        <w:tcPr>
          <w:tcW w:w="1668" w:type="dxa"/>
          <w:tcBorders>
            <w:right w:val="single" w:sz="4" w:space="0" w:color="5B9BD5"/>
          </w:tcBorders>
          <w:shd w:val="clear" w:color="auto" w:fill="auto"/>
        </w:tcPr>
        <w:p w:rsidR="004E0906" w:rsidRPr="00C46589" w:rsidRDefault="004E0906" w:rsidP="001D39EA">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E0906" w:rsidRPr="00C46589" w:rsidRDefault="004E0906">
          <w:pPr>
            <w:pStyle w:val="Header"/>
            <w:jc w:val="right"/>
            <w:rPr>
              <w:rFonts w:ascii="Lato" w:eastAsia="Lato" w:hAnsi="Lato"/>
              <w:sz w:val="14"/>
              <w:szCs w:val="14"/>
            </w:rPr>
          </w:pPr>
          <w:r>
            <w:rPr>
              <w:rFonts w:ascii="Lato" w:eastAsia="Lato" w:hAnsi="Lato"/>
              <w:sz w:val="14"/>
              <w:szCs w:val="14"/>
            </w:rPr>
            <w:t>Qualifying</w:t>
          </w:r>
          <w:r w:rsidRPr="00C46589">
            <w:rPr>
              <w:rFonts w:ascii="Lato" w:eastAsia="Lato" w:hAnsi="Lato"/>
              <w:sz w:val="14"/>
              <w:szCs w:val="14"/>
            </w:rPr>
            <w:t xml:space="preserve"> Investor AIF Application Form Section </w:t>
          </w:r>
          <w:r>
            <w:rPr>
              <w:rFonts w:ascii="Lato" w:eastAsia="Lato" w:hAnsi="Lato"/>
              <w:sz w:val="14"/>
              <w:szCs w:val="14"/>
            </w:rPr>
            <w:t>3 Instrument of Incorporation</w:t>
          </w:r>
        </w:p>
      </w:tc>
      <w:tc>
        <w:tcPr>
          <w:tcW w:w="906" w:type="dxa"/>
          <w:tcBorders>
            <w:left w:val="single" w:sz="4" w:space="0" w:color="5B9BD5"/>
          </w:tcBorders>
          <w:shd w:val="clear" w:color="auto" w:fill="auto"/>
        </w:tcPr>
        <w:p w:rsidR="004E0906" w:rsidRPr="00C46589" w:rsidRDefault="004E0906" w:rsidP="002869AA">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641A89">
            <w:rPr>
              <w:rFonts w:ascii="Lato" w:eastAsia="Lato" w:hAnsi="Lato"/>
              <w:noProof/>
              <w:sz w:val="14"/>
              <w:szCs w:val="14"/>
            </w:rPr>
            <w:t>10</w:t>
          </w:r>
          <w:r w:rsidRPr="00C46589">
            <w:rPr>
              <w:rFonts w:ascii="Lato" w:eastAsia="Lato" w:hAnsi="Lato"/>
              <w:noProof/>
              <w:sz w:val="14"/>
              <w:szCs w:val="14"/>
            </w:rPr>
            <w:fldChar w:fldCharType="end"/>
          </w:r>
        </w:p>
      </w:tc>
    </w:tr>
  </w:tbl>
  <w:p w:rsidR="004E0906" w:rsidRDefault="004E0906">
    <w:pPr>
      <w:pStyle w:val="Header"/>
      <w:ind w:left="-1701"/>
      <w:rPr>
        <w:lang w:val="ga-I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06" w:rsidRDefault="00641A89" w:rsidP="00641A89">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641A89">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8876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323B9B"/>
    <w:multiLevelType w:val="singleLevel"/>
    <w:tmpl w:val="B8E001D6"/>
    <w:lvl w:ilvl="0">
      <w:start w:val="1"/>
      <w:numFmt w:val="decimal"/>
      <w:lvlText w:val="%1."/>
      <w:legacy w:legacy="1" w:legacySpace="0" w:legacyIndent="283"/>
      <w:lvlJc w:val="left"/>
      <w:pPr>
        <w:ind w:left="283" w:hanging="283"/>
      </w:pPr>
    </w:lvl>
  </w:abstractNum>
  <w:abstractNum w:abstractNumId="4" w15:restartNumberingAfterBreak="0">
    <w:nsid w:val="1817581D"/>
    <w:multiLevelType w:val="hybridMultilevel"/>
    <w:tmpl w:val="0A6629EE"/>
    <w:lvl w:ilvl="0" w:tplc="523C3B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15C8A"/>
    <w:multiLevelType w:val="hybridMultilevel"/>
    <w:tmpl w:val="AD983F18"/>
    <w:lvl w:ilvl="0" w:tplc="04090001">
      <w:start w:val="1"/>
      <w:numFmt w:val="bullet"/>
      <w:lvlText w:val=""/>
      <w:lvlJc w:val="left"/>
      <w:pPr>
        <w:tabs>
          <w:tab w:val="num" w:pos="767"/>
        </w:tabs>
        <w:ind w:left="767" w:hanging="360"/>
      </w:pPr>
      <w:rPr>
        <w:rFonts w:ascii="Symbol" w:hAnsi="Symbol" w:hint="default"/>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6" w15:restartNumberingAfterBreak="0">
    <w:nsid w:val="20B56AFA"/>
    <w:multiLevelType w:val="hybridMultilevel"/>
    <w:tmpl w:val="7CA67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3024D"/>
    <w:multiLevelType w:val="hybridMultilevel"/>
    <w:tmpl w:val="04544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613D8"/>
    <w:multiLevelType w:val="hybridMultilevel"/>
    <w:tmpl w:val="6158FBEE"/>
    <w:lvl w:ilvl="0" w:tplc="441A27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9F305D"/>
    <w:multiLevelType w:val="hybridMultilevel"/>
    <w:tmpl w:val="4178E9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755AE2"/>
    <w:multiLevelType w:val="hybridMultilevel"/>
    <w:tmpl w:val="B4F25C62"/>
    <w:lvl w:ilvl="0" w:tplc="123CF4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C1502F"/>
    <w:multiLevelType w:val="hybridMultilevel"/>
    <w:tmpl w:val="E3480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0564D2"/>
    <w:multiLevelType w:val="hybridMultilevel"/>
    <w:tmpl w:val="491E7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6823C5"/>
    <w:multiLevelType w:val="hybridMultilevel"/>
    <w:tmpl w:val="1D243B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23F14"/>
    <w:multiLevelType w:val="hybridMultilevel"/>
    <w:tmpl w:val="51A0BD1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0220C1"/>
    <w:multiLevelType w:val="hybridMultilevel"/>
    <w:tmpl w:val="BED0DB24"/>
    <w:lvl w:ilvl="0" w:tplc="CB2A948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C113BAA"/>
    <w:multiLevelType w:val="hybridMultilevel"/>
    <w:tmpl w:val="5A90C8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8D4D04"/>
    <w:multiLevelType w:val="hybridMultilevel"/>
    <w:tmpl w:val="C86681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63E20D8"/>
    <w:multiLevelType w:val="hybridMultilevel"/>
    <w:tmpl w:val="48542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41037"/>
    <w:multiLevelType w:val="hybridMultilevel"/>
    <w:tmpl w:val="851E47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033C13"/>
    <w:multiLevelType w:val="singleLevel"/>
    <w:tmpl w:val="B8E001D6"/>
    <w:lvl w:ilvl="0">
      <w:start w:val="1"/>
      <w:numFmt w:val="decimal"/>
      <w:lvlText w:val="%1."/>
      <w:legacy w:legacy="1" w:legacySpace="0" w:legacyIndent="283"/>
      <w:lvlJc w:val="left"/>
      <w:pPr>
        <w:ind w:left="283" w:hanging="283"/>
      </w:pPr>
    </w:lvl>
  </w:abstractNum>
  <w:abstractNum w:abstractNumId="24"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5"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34808"/>
    <w:multiLevelType w:val="hybridMultilevel"/>
    <w:tmpl w:val="0DFA95D6"/>
    <w:lvl w:ilvl="0" w:tplc="78C0EE14">
      <w:start w:val="1"/>
      <w:numFmt w:val="lowerLetter"/>
      <w:lvlText w:val="%1)"/>
      <w:lvlJc w:val="left"/>
      <w:pPr>
        <w:ind w:left="370" w:hanging="360"/>
      </w:pPr>
      <w:rPr>
        <w:rFonts w:hint="default"/>
      </w:r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28" w15:restartNumberingAfterBreak="0">
    <w:nsid w:val="7DAC10D7"/>
    <w:multiLevelType w:val="hybridMultilevel"/>
    <w:tmpl w:val="5524C460"/>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
  </w:num>
  <w:num w:numId="4">
    <w:abstractNumId w:val="25"/>
  </w:num>
  <w:num w:numId="5">
    <w:abstractNumId w:val="28"/>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num>
  <w:num w:numId="12">
    <w:abstractNumId w:val="24"/>
  </w:num>
  <w:num w:numId="13">
    <w:abstractNumId w:val="7"/>
  </w:num>
  <w:num w:numId="14">
    <w:abstractNumId w:val="6"/>
  </w:num>
  <w:num w:numId="15">
    <w:abstractNumId w:val="13"/>
  </w:num>
  <w:num w:numId="16">
    <w:abstractNumId w:val="22"/>
  </w:num>
  <w:num w:numId="17">
    <w:abstractNumId w:val="4"/>
  </w:num>
  <w:num w:numId="18">
    <w:abstractNumId w:val="3"/>
  </w:num>
  <w:num w:numId="19">
    <w:abstractNumId w:val="23"/>
  </w:num>
  <w:num w:numId="20">
    <w:abstractNumId w:val="21"/>
  </w:num>
  <w:num w:numId="21">
    <w:abstractNumId w:val="9"/>
  </w:num>
  <w:num w:numId="22">
    <w:abstractNumId w:val="12"/>
  </w:num>
  <w:num w:numId="23">
    <w:abstractNumId w:val="5"/>
  </w:num>
  <w:num w:numId="24">
    <w:abstractNumId w:val="16"/>
  </w:num>
  <w:num w:numId="25">
    <w:abstractNumId w:val="8"/>
  </w:num>
  <w:num w:numId="26">
    <w:abstractNumId w:val="27"/>
  </w:num>
  <w:num w:numId="27">
    <w:abstractNumId w:val="18"/>
  </w:num>
  <w:num w:numId="28">
    <w:abstractNumId w:val="15"/>
  </w:num>
  <w:num w:numId="29">
    <w:abstractNumId w:val="10"/>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F8"/>
    <w:rsid w:val="00000183"/>
    <w:rsid w:val="00000AF5"/>
    <w:rsid w:val="00005A2A"/>
    <w:rsid w:val="000069E4"/>
    <w:rsid w:val="00013C03"/>
    <w:rsid w:val="00017C13"/>
    <w:rsid w:val="00036529"/>
    <w:rsid w:val="00036587"/>
    <w:rsid w:val="000438ED"/>
    <w:rsid w:val="00051D8D"/>
    <w:rsid w:val="00055980"/>
    <w:rsid w:val="00061855"/>
    <w:rsid w:val="000639E5"/>
    <w:rsid w:val="000655F3"/>
    <w:rsid w:val="000662D8"/>
    <w:rsid w:val="000733A7"/>
    <w:rsid w:val="0008055D"/>
    <w:rsid w:val="000868E0"/>
    <w:rsid w:val="00095437"/>
    <w:rsid w:val="000A0D6C"/>
    <w:rsid w:val="000B5D66"/>
    <w:rsid w:val="000C542D"/>
    <w:rsid w:val="000F57FE"/>
    <w:rsid w:val="000F67AF"/>
    <w:rsid w:val="0011114E"/>
    <w:rsid w:val="00111FCE"/>
    <w:rsid w:val="001132C0"/>
    <w:rsid w:val="00116A76"/>
    <w:rsid w:val="00120356"/>
    <w:rsid w:val="001308E1"/>
    <w:rsid w:val="00132C84"/>
    <w:rsid w:val="00135D64"/>
    <w:rsid w:val="00153C4E"/>
    <w:rsid w:val="0016087D"/>
    <w:rsid w:val="001618DB"/>
    <w:rsid w:val="0016410D"/>
    <w:rsid w:val="0016642E"/>
    <w:rsid w:val="00184FF9"/>
    <w:rsid w:val="00196AD8"/>
    <w:rsid w:val="001A1648"/>
    <w:rsid w:val="001A363E"/>
    <w:rsid w:val="001B6665"/>
    <w:rsid w:val="001B68D6"/>
    <w:rsid w:val="001B6DC7"/>
    <w:rsid w:val="001B7AAB"/>
    <w:rsid w:val="001C1DDE"/>
    <w:rsid w:val="001D39EA"/>
    <w:rsid w:val="001D7EC1"/>
    <w:rsid w:val="001E2108"/>
    <w:rsid w:val="001E3A69"/>
    <w:rsid w:val="001E644B"/>
    <w:rsid w:val="001E77EC"/>
    <w:rsid w:val="001F30BF"/>
    <w:rsid w:val="00214A24"/>
    <w:rsid w:val="00226B76"/>
    <w:rsid w:val="002342C8"/>
    <w:rsid w:val="00236702"/>
    <w:rsid w:val="0023745E"/>
    <w:rsid w:val="00237A64"/>
    <w:rsid w:val="002418CE"/>
    <w:rsid w:val="002433F2"/>
    <w:rsid w:val="0024401C"/>
    <w:rsid w:val="00244D9E"/>
    <w:rsid w:val="00247073"/>
    <w:rsid w:val="002473A6"/>
    <w:rsid w:val="00250034"/>
    <w:rsid w:val="00251F83"/>
    <w:rsid w:val="00252CCF"/>
    <w:rsid w:val="00263532"/>
    <w:rsid w:val="00272FBC"/>
    <w:rsid w:val="002737B5"/>
    <w:rsid w:val="00280232"/>
    <w:rsid w:val="002869AA"/>
    <w:rsid w:val="00291A80"/>
    <w:rsid w:val="00293729"/>
    <w:rsid w:val="00294084"/>
    <w:rsid w:val="00296259"/>
    <w:rsid w:val="00296655"/>
    <w:rsid w:val="002A1005"/>
    <w:rsid w:val="002A4569"/>
    <w:rsid w:val="002A6DEA"/>
    <w:rsid w:val="002B1750"/>
    <w:rsid w:val="002B2235"/>
    <w:rsid w:val="002C2BB9"/>
    <w:rsid w:val="002C343C"/>
    <w:rsid w:val="002E0412"/>
    <w:rsid w:val="002E2275"/>
    <w:rsid w:val="002E2536"/>
    <w:rsid w:val="002E43A1"/>
    <w:rsid w:val="002E56A6"/>
    <w:rsid w:val="003100A0"/>
    <w:rsid w:val="00310210"/>
    <w:rsid w:val="0031195F"/>
    <w:rsid w:val="003146EE"/>
    <w:rsid w:val="00315C5F"/>
    <w:rsid w:val="00316341"/>
    <w:rsid w:val="0034429D"/>
    <w:rsid w:val="00345E65"/>
    <w:rsid w:val="00347348"/>
    <w:rsid w:val="003553AA"/>
    <w:rsid w:val="00361CF0"/>
    <w:rsid w:val="00371BC2"/>
    <w:rsid w:val="003724E5"/>
    <w:rsid w:val="00374FBA"/>
    <w:rsid w:val="00375729"/>
    <w:rsid w:val="00381078"/>
    <w:rsid w:val="00382881"/>
    <w:rsid w:val="003838E4"/>
    <w:rsid w:val="00395A06"/>
    <w:rsid w:val="003A130D"/>
    <w:rsid w:val="003B3C36"/>
    <w:rsid w:val="003C03FC"/>
    <w:rsid w:val="003C2DF6"/>
    <w:rsid w:val="003D54F5"/>
    <w:rsid w:val="003D7082"/>
    <w:rsid w:val="003E3928"/>
    <w:rsid w:val="003E52CA"/>
    <w:rsid w:val="003F0FDC"/>
    <w:rsid w:val="00402488"/>
    <w:rsid w:val="00415F4F"/>
    <w:rsid w:val="0041769B"/>
    <w:rsid w:val="00417D23"/>
    <w:rsid w:val="00432E4D"/>
    <w:rsid w:val="00433CA3"/>
    <w:rsid w:val="00433EF3"/>
    <w:rsid w:val="004419DA"/>
    <w:rsid w:val="00447F13"/>
    <w:rsid w:val="00450D0A"/>
    <w:rsid w:val="004517A9"/>
    <w:rsid w:val="00462CCB"/>
    <w:rsid w:val="00483CA6"/>
    <w:rsid w:val="00491873"/>
    <w:rsid w:val="0049550E"/>
    <w:rsid w:val="004960B3"/>
    <w:rsid w:val="00496C3F"/>
    <w:rsid w:val="004A3F34"/>
    <w:rsid w:val="004A747B"/>
    <w:rsid w:val="004B653E"/>
    <w:rsid w:val="004C4F86"/>
    <w:rsid w:val="004C56CD"/>
    <w:rsid w:val="004C6B5F"/>
    <w:rsid w:val="004D4884"/>
    <w:rsid w:val="004D5D65"/>
    <w:rsid w:val="004E0906"/>
    <w:rsid w:val="004E31CD"/>
    <w:rsid w:val="004E3BE6"/>
    <w:rsid w:val="00503C29"/>
    <w:rsid w:val="00506953"/>
    <w:rsid w:val="00506A0D"/>
    <w:rsid w:val="005070E1"/>
    <w:rsid w:val="00536595"/>
    <w:rsid w:val="00536887"/>
    <w:rsid w:val="00537436"/>
    <w:rsid w:val="00541500"/>
    <w:rsid w:val="005425A9"/>
    <w:rsid w:val="00545F48"/>
    <w:rsid w:val="00551F90"/>
    <w:rsid w:val="005539C3"/>
    <w:rsid w:val="00555B34"/>
    <w:rsid w:val="00557D2E"/>
    <w:rsid w:val="005605BD"/>
    <w:rsid w:val="00562AA0"/>
    <w:rsid w:val="00574477"/>
    <w:rsid w:val="0057472E"/>
    <w:rsid w:val="00576509"/>
    <w:rsid w:val="00577FE5"/>
    <w:rsid w:val="005812E2"/>
    <w:rsid w:val="00581BFC"/>
    <w:rsid w:val="005871B8"/>
    <w:rsid w:val="00587913"/>
    <w:rsid w:val="00590101"/>
    <w:rsid w:val="00590C87"/>
    <w:rsid w:val="00593762"/>
    <w:rsid w:val="0059394B"/>
    <w:rsid w:val="00595845"/>
    <w:rsid w:val="00595C91"/>
    <w:rsid w:val="0059751F"/>
    <w:rsid w:val="005A060C"/>
    <w:rsid w:val="005A2223"/>
    <w:rsid w:val="005B1257"/>
    <w:rsid w:val="005C1FC2"/>
    <w:rsid w:val="005C6DCE"/>
    <w:rsid w:val="005D1851"/>
    <w:rsid w:val="005D3B22"/>
    <w:rsid w:val="005D64D0"/>
    <w:rsid w:val="005D6F84"/>
    <w:rsid w:val="005E2C46"/>
    <w:rsid w:val="005E38C0"/>
    <w:rsid w:val="005E4E48"/>
    <w:rsid w:val="0060247C"/>
    <w:rsid w:val="006029DA"/>
    <w:rsid w:val="0060361E"/>
    <w:rsid w:val="00604929"/>
    <w:rsid w:val="00606888"/>
    <w:rsid w:val="00610292"/>
    <w:rsid w:val="0061296E"/>
    <w:rsid w:val="00620454"/>
    <w:rsid w:val="00625F11"/>
    <w:rsid w:val="0062628E"/>
    <w:rsid w:val="00627CDA"/>
    <w:rsid w:val="0063333B"/>
    <w:rsid w:val="006339AA"/>
    <w:rsid w:val="00641A89"/>
    <w:rsid w:val="00644BF6"/>
    <w:rsid w:val="006559CB"/>
    <w:rsid w:val="006562AD"/>
    <w:rsid w:val="006710CC"/>
    <w:rsid w:val="00681A53"/>
    <w:rsid w:val="006A0501"/>
    <w:rsid w:val="006B5692"/>
    <w:rsid w:val="006B68D5"/>
    <w:rsid w:val="006B6BCB"/>
    <w:rsid w:val="006C2465"/>
    <w:rsid w:val="006C24E9"/>
    <w:rsid w:val="006C4769"/>
    <w:rsid w:val="006E5461"/>
    <w:rsid w:val="006E5CBE"/>
    <w:rsid w:val="006E6B08"/>
    <w:rsid w:val="006F5595"/>
    <w:rsid w:val="006F7480"/>
    <w:rsid w:val="006F7FBF"/>
    <w:rsid w:val="00702153"/>
    <w:rsid w:val="007024BE"/>
    <w:rsid w:val="00702707"/>
    <w:rsid w:val="00706A87"/>
    <w:rsid w:val="0071087D"/>
    <w:rsid w:val="00716D3B"/>
    <w:rsid w:val="00746C6E"/>
    <w:rsid w:val="007477DA"/>
    <w:rsid w:val="007541FD"/>
    <w:rsid w:val="0076188A"/>
    <w:rsid w:val="00764D54"/>
    <w:rsid w:val="00766349"/>
    <w:rsid w:val="0077001A"/>
    <w:rsid w:val="00771D57"/>
    <w:rsid w:val="00775384"/>
    <w:rsid w:val="007814A8"/>
    <w:rsid w:val="0078589D"/>
    <w:rsid w:val="00791B15"/>
    <w:rsid w:val="0079646E"/>
    <w:rsid w:val="007A26FA"/>
    <w:rsid w:val="007B06D6"/>
    <w:rsid w:val="007B0B80"/>
    <w:rsid w:val="007B12CE"/>
    <w:rsid w:val="007B7B3F"/>
    <w:rsid w:val="007C5AFE"/>
    <w:rsid w:val="007D0D8A"/>
    <w:rsid w:val="007D1299"/>
    <w:rsid w:val="007D2CC6"/>
    <w:rsid w:val="007D343A"/>
    <w:rsid w:val="007D36A3"/>
    <w:rsid w:val="007E52FD"/>
    <w:rsid w:val="007F1455"/>
    <w:rsid w:val="007F7B7F"/>
    <w:rsid w:val="008105B9"/>
    <w:rsid w:val="00811585"/>
    <w:rsid w:val="00821635"/>
    <w:rsid w:val="008279D5"/>
    <w:rsid w:val="00855310"/>
    <w:rsid w:val="00855A89"/>
    <w:rsid w:val="00861092"/>
    <w:rsid w:val="008633B4"/>
    <w:rsid w:val="0086363F"/>
    <w:rsid w:val="00866D8C"/>
    <w:rsid w:val="008710EC"/>
    <w:rsid w:val="008723CB"/>
    <w:rsid w:val="00872757"/>
    <w:rsid w:val="008814BD"/>
    <w:rsid w:val="00881793"/>
    <w:rsid w:val="00890EF9"/>
    <w:rsid w:val="00891F1D"/>
    <w:rsid w:val="0089334C"/>
    <w:rsid w:val="00897D88"/>
    <w:rsid w:val="008A2381"/>
    <w:rsid w:val="008A4E29"/>
    <w:rsid w:val="008B10BA"/>
    <w:rsid w:val="008B30B8"/>
    <w:rsid w:val="008C06A4"/>
    <w:rsid w:val="008C0F34"/>
    <w:rsid w:val="008C42F8"/>
    <w:rsid w:val="008C554D"/>
    <w:rsid w:val="008C5B1E"/>
    <w:rsid w:val="008D6825"/>
    <w:rsid w:val="008D7059"/>
    <w:rsid w:val="008D7B8A"/>
    <w:rsid w:val="008E1F5D"/>
    <w:rsid w:val="008E4D16"/>
    <w:rsid w:val="008E5369"/>
    <w:rsid w:val="008E71E5"/>
    <w:rsid w:val="008F6559"/>
    <w:rsid w:val="0090271F"/>
    <w:rsid w:val="00903A42"/>
    <w:rsid w:val="0090527A"/>
    <w:rsid w:val="0090619E"/>
    <w:rsid w:val="00911D68"/>
    <w:rsid w:val="009163FD"/>
    <w:rsid w:val="00920B99"/>
    <w:rsid w:val="009261DC"/>
    <w:rsid w:val="0093304E"/>
    <w:rsid w:val="00933F75"/>
    <w:rsid w:val="00944724"/>
    <w:rsid w:val="00945F54"/>
    <w:rsid w:val="009511AB"/>
    <w:rsid w:val="0095178E"/>
    <w:rsid w:val="00954A97"/>
    <w:rsid w:val="00966016"/>
    <w:rsid w:val="00971E09"/>
    <w:rsid w:val="00973CF1"/>
    <w:rsid w:val="00977E44"/>
    <w:rsid w:val="0098063F"/>
    <w:rsid w:val="00987746"/>
    <w:rsid w:val="009907B0"/>
    <w:rsid w:val="009914B7"/>
    <w:rsid w:val="00996DF0"/>
    <w:rsid w:val="009A2D17"/>
    <w:rsid w:val="009A4EBD"/>
    <w:rsid w:val="009A596D"/>
    <w:rsid w:val="009A5F18"/>
    <w:rsid w:val="009B3DB6"/>
    <w:rsid w:val="009B41BA"/>
    <w:rsid w:val="009B571A"/>
    <w:rsid w:val="009C0102"/>
    <w:rsid w:val="009C18B2"/>
    <w:rsid w:val="009E42CC"/>
    <w:rsid w:val="009E480B"/>
    <w:rsid w:val="009F2B05"/>
    <w:rsid w:val="009F50E8"/>
    <w:rsid w:val="00A167D1"/>
    <w:rsid w:val="00A31A6D"/>
    <w:rsid w:val="00A32165"/>
    <w:rsid w:val="00A3307F"/>
    <w:rsid w:val="00A555AD"/>
    <w:rsid w:val="00A656CA"/>
    <w:rsid w:val="00A720EB"/>
    <w:rsid w:val="00A75131"/>
    <w:rsid w:val="00A81EB5"/>
    <w:rsid w:val="00A8518D"/>
    <w:rsid w:val="00A905F7"/>
    <w:rsid w:val="00A93DA0"/>
    <w:rsid w:val="00A96A46"/>
    <w:rsid w:val="00AB2825"/>
    <w:rsid w:val="00AB7F28"/>
    <w:rsid w:val="00AC0B22"/>
    <w:rsid w:val="00AC41AF"/>
    <w:rsid w:val="00AD0798"/>
    <w:rsid w:val="00AE09D1"/>
    <w:rsid w:val="00AE1E7F"/>
    <w:rsid w:val="00AF2D7A"/>
    <w:rsid w:val="00AF6186"/>
    <w:rsid w:val="00B02300"/>
    <w:rsid w:val="00B04D3A"/>
    <w:rsid w:val="00B13292"/>
    <w:rsid w:val="00B16820"/>
    <w:rsid w:val="00B2366C"/>
    <w:rsid w:val="00B24D68"/>
    <w:rsid w:val="00B258EE"/>
    <w:rsid w:val="00B318E8"/>
    <w:rsid w:val="00B3248A"/>
    <w:rsid w:val="00B3310A"/>
    <w:rsid w:val="00B40DB7"/>
    <w:rsid w:val="00B40FF1"/>
    <w:rsid w:val="00B4402A"/>
    <w:rsid w:val="00B47633"/>
    <w:rsid w:val="00B62791"/>
    <w:rsid w:val="00B6738B"/>
    <w:rsid w:val="00B80498"/>
    <w:rsid w:val="00B96ADF"/>
    <w:rsid w:val="00BA1BE5"/>
    <w:rsid w:val="00BA5330"/>
    <w:rsid w:val="00BC3446"/>
    <w:rsid w:val="00BC4A41"/>
    <w:rsid w:val="00BC79F2"/>
    <w:rsid w:val="00BD70B8"/>
    <w:rsid w:val="00BE02C6"/>
    <w:rsid w:val="00BE07F8"/>
    <w:rsid w:val="00BE1F34"/>
    <w:rsid w:val="00BE202F"/>
    <w:rsid w:val="00BE61E8"/>
    <w:rsid w:val="00BF2956"/>
    <w:rsid w:val="00BF4183"/>
    <w:rsid w:val="00BF6D26"/>
    <w:rsid w:val="00BF7E8C"/>
    <w:rsid w:val="00C10CB0"/>
    <w:rsid w:val="00C117B6"/>
    <w:rsid w:val="00C12501"/>
    <w:rsid w:val="00C14E10"/>
    <w:rsid w:val="00C26AB8"/>
    <w:rsid w:val="00C32CDC"/>
    <w:rsid w:val="00C34519"/>
    <w:rsid w:val="00C3753F"/>
    <w:rsid w:val="00C42942"/>
    <w:rsid w:val="00C5549F"/>
    <w:rsid w:val="00C559F7"/>
    <w:rsid w:val="00C660C6"/>
    <w:rsid w:val="00C71A4F"/>
    <w:rsid w:val="00C86809"/>
    <w:rsid w:val="00C869CC"/>
    <w:rsid w:val="00CA3728"/>
    <w:rsid w:val="00CA4958"/>
    <w:rsid w:val="00CB0734"/>
    <w:rsid w:val="00CB51EB"/>
    <w:rsid w:val="00CB52DE"/>
    <w:rsid w:val="00CC0D28"/>
    <w:rsid w:val="00CC4608"/>
    <w:rsid w:val="00CD0EF0"/>
    <w:rsid w:val="00CD1251"/>
    <w:rsid w:val="00CD4227"/>
    <w:rsid w:val="00CD5C0B"/>
    <w:rsid w:val="00CD7774"/>
    <w:rsid w:val="00CE0C2E"/>
    <w:rsid w:val="00CE32CA"/>
    <w:rsid w:val="00CF5782"/>
    <w:rsid w:val="00CF69AD"/>
    <w:rsid w:val="00D070EC"/>
    <w:rsid w:val="00D15537"/>
    <w:rsid w:val="00D16170"/>
    <w:rsid w:val="00D17874"/>
    <w:rsid w:val="00D1798A"/>
    <w:rsid w:val="00D22191"/>
    <w:rsid w:val="00D22A00"/>
    <w:rsid w:val="00D249E4"/>
    <w:rsid w:val="00D25B9E"/>
    <w:rsid w:val="00D25D65"/>
    <w:rsid w:val="00D428E0"/>
    <w:rsid w:val="00D43FA2"/>
    <w:rsid w:val="00D462B1"/>
    <w:rsid w:val="00D464D6"/>
    <w:rsid w:val="00D501FD"/>
    <w:rsid w:val="00D519A4"/>
    <w:rsid w:val="00D552C4"/>
    <w:rsid w:val="00D57BE6"/>
    <w:rsid w:val="00D619C0"/>
    <w:rsid w:val="00D70F64"/>
    <w:rsid w:val="00D76020"/>
    <w:rsid w:val="00D83191"/>
    <w:rsid w:val="00D90ED5"/>
    <w:rsid w:val="00DA46FB"/>
    <w:rsid w:val="00DC0539"/>
    <w:rsid w:val="00DD0B4C"/>
    <w:rsid w:val="00DD4B58"/>
    <w:rsid w:val="00DF0118"/>
    <w:rsid w:val="00DF03AC"/>
    <w:rsid w:val="00DF7D10"/>
    <w:rsid w:val="00E007B9"/>
    <w:rsid w:val="00E0118D"/>
    <w:rsid w:val="00E124EE"/>
    <w:rsid w:val="00E13F28"/>
    <w:rsid w:val="00E14A41"/>
    <w:rsid w:val="00E24D50"/>
    <w:rsid w:val="00E43ECB"/>
    <w:rsid w:val="00E44F5D"/>
    <w:rsid w:val="00E51F0A"/>
    <w:rsid w:val="00E555ED"/>
    <w:rsid w:val="00E5585D"/>
    <w:rsid w:val="00E5689C"/>
    <w:rsid w:val="00E67A82"/>
    <w:rsid w:val="00E700FE"/>
    <w:rsid w:val="00E71E1B"/>
    <w:rsid w:val="00E7435E"/>
    <w:rsid w:val="00E936A4"/>
    <w:rsid w:val="00E94DDA"/>
    <w:rsid w:val="00E95814"/>
    <w:rsid w:val="00E967DB"/>
    <w:rsid w:val="00EA06F4"/>
    <w:rsid w:val="00EA4625"/>
    <w:rsid w:val="00EB568A"/>
    <w:rsid w:val="00EC34C5"/>
    <w:rsid w:val="00ED18F7"/>
    <w:rsid w:val="00ED31FB"/>
    <w:rsid w:val="00ED34EF"/>
    <w:rsid w:val="00ED6F87"/>
    <w:rsid w:val="00EE1A5D"/>
    <w:rsid w:val="00EE3D62"/>
    <w:rsid w:val="00EF2DBB"/>
    <w:rsid w:val="00EF4094"/>
    <w:rsid w:val="00F03606"/>
    <w:rsid w:val="00F16B34"/>
    <w:rsid w:val="00F332FC"/>
    <w:rsid w:val="00F348FE"/>
    <w:rsid w:val="00F35D6D"/>
    <w:rsid w:val="00F37D93"/>
    <w:rsid w:val="00F40625"/>
    <w:rsid w:val="00F4151A"/>
    <w:rsid w:val="00F441B3"/>
    <w:rsid w:val="00F448B0"/>
    <w:rsid w:val="00F501F6"/>
    <w:rsid w:val="00F53A7A"/>
    <w:rsid w:val="00F54A55"/>
    <w:rsid w:val="00F62FAB"/>
    <w:rsid w:val="00F673CF"/>
    <w:rsid w:val="00F7135D"/>
    <w:rsid w:val="00F735B1"/>
    <w:rsid w:val="00F76F6B"/>
    <w:rsid w:val="00F84001"/>
    <w:rsid w:val="00F86AA3"/>
    <w:rsid w:val="00F9007F"/>
    <w:rsid w:val="00F93032"/>
    <w:rsid w:val="00F94168"/>
    <w:rsid w:val="00F950B2"/>
    <w:rsid w:val="00FA1DDF"/>
    <w:rsid w:val="00FA2323"/>
    <w:rsid w:val="00FA6FA7"/>
    <w:rsid w:val="00FB6083"/>
    <w:rsid w:val="00FC4C29"/>
    <w:rsid w:val="00FC793A"/>
    <w:rsid w:val="00FC7D7A"/>
    <w:rsid w:val="00FD02C7"/>
    <w:rsid w:val="00FD725B"/>
    <w:rsid w:val="00FE2542"/>
    <w:rsid w:val="00FF4AEE"/>
    <w:rsid w:val="00FF7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ind w:left="10"/>
      <w:outlineLvl w:val="3"/>
    </w:pPr>
    <w:rPr>
      <w:rFonts w:ascii="Times New Roman" w:hAnsi="Times New Roman"/>
      <w:i/>
      <w:iCs/>
      <w:lang w:val="en-IE"/>
    </w:rPr>
  </w:style>
  <w:style w:type="paragraph" w:styleId="Heading5">
    <w:name w:val="heading 5"/>
    <w:basedOn w:val="Normal"/>
    <w:next w:val="Normal"/>
    <w:qFormat/>
    <w:pPr>
      <w:keepNext/>
      <w:spacing w:line="240" w:lineRule="auto"/>
      <w:jc w:val="center"/>
      <w:outlineLvl w:val="4"/>
    </w:pPr>
    <w:rPr>
      <w:rFonts w:ascii="Times New Roman" w:hAnsi="Times New Roman"/>
      <w:b/>
      <w:bCs/>
      <w:lang w:val="en-IE"/>
    </w:rPr>
  </w:style>
  <w:style w:type="paragraph" w:styleId="Heading6">
    <w:name w:val="heading 6"/>
    <w:basedOn w:val="Normal"/>
    <w:next w:val="Normal"/>
    <w:qFormat/>
    <w:pPr>
      <w:keepNext/>
      <w:spacing w:line="240" w:lineRule="auto"/>
      <w:outlineLvl w:val="5"/>
    </w:pPr>
    <w:rPr>
      <w:rFonts w:ascii="Times New Roman" w:hAnsi="Times New Roman"/>
      <w:b/>
      <w:bCs/>
      <w:sz w:val="24"/>
      <w:szCs w:val="24"/>
    </w:rPr>
  </w:style>
  <w:style w:type="paragraph" w:styleId="Heading9">
    <w:name w:val="heading 9"/>
    <w:basedOn w:val="Normal"/>
    <w:next w:val="Normal"/>
    <w:qFormat/>
    <w:pPr>
      <w:keepNext/>
      <w:spacing w:line="240" w:lineRule="auto"/>
      <w:jc w:val="both"/>
      <w:outlineLvl w:val="8"/>
    </w:pPr>
    <w:rPr>
      <w:rFonts w:ascii="Times New Roman" w:hAnsi="Times New Roman"/>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odyText">
    <w:name w:val="Body Text"/>
    <w:basedOn w:val="Normal"/>
    <w:semiHidden/>
    <w:pPr>
      <w:spacing w:line="240" w:lineRule="auto"/>
    </w:pPr>
    <w:rPr>
      <w:color w:val="FFFFFF"/>
      <w:sz w:val="56"/>
      <w:lang w:val="ga-IE"/>
    </w:rPr>
  </w:style>
  <w:style w:type="paragraph" w:styleId="FootnoteText">
    <w:name w:val="footnote text"/>
    <w:basedOn w:val="Normal"/>
    <w:semiHidden/>
    <w:pPr>
      <w:spacing w:line="240" w:lineRule="auto"/>
    </w:pPr>
    <w:rPr>
      <w:rFonts w:ascii="Times New Roman" w:hAnsi="Times New Roman"/>
      <w:sz w:val="20"/>
    </w:rPr>
  </w:style>
  <w:style w:type="character" w:styleId="FootnoteReference">
    <w:name w:val="footnote reference"/>
    <w:semiHidden/>
    <w:rPr>
      <w:vertAlign w:val="superscript"/>
    </w:rPr>
  </w:style>
  <w:style w:type="paragraph" w:styleId="BodyTextIndent">
    <w:name w:val="Body Text Indent"/>
    <w:basedOn w:val="Normal"/>
    <w:semiHidden/>
    <w:pPr>
      <w:spacing w:line="240" w:lineRule="auto"/>
      <w:ind w:left="-684"/>
    </w:pPr>
    <w:rPr>
      <w:rFonts w:ascii="Times New Roman" w:hAnsi="Times New Roman"/>
      <w:b/>
      <w:bCs/>
      <w:sz w:val="24"/>
      <w:lang w:val="en-IE"/>
    </w:rPr>
  </w:style>
  <w:style w:type="character" w:customStyle="1" w:styleId="HeaderChar">
    <w:name w:val="Header Char"/>
    <w:link w:val="Header"/>
    <w:uiPriority w:val="99"/>
    <w:rsid w:val="006C2465"/>
    <w:rPr>
      <w:rFonts w:ascii="Verdana" w:hAnsi="Verdana"/>
      <w:sz w:val="22"/>
      <w:lang w:val="en-GB" w:eastAsia="en-US"/>
    </w:rPr>
  </w:style>
  <w:style w:type="paragraph" w:customStyle="1" w:styleId="Noparagraphstyle">
    <w:name w:val="[No paragraph style]"/>
    <w:uiPriority w:val="99"/>
    <w:rsid w:val="006C2465"/>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6C2465"/>
    <w:rPr>
      <w:rFonts w:ascii="HelveticaNeueLTStd-Bd" w:hAnsi="HelveticaNeueLTStd-Bd"/>
      <w:b/>
    </w:rPr>
  </w:style>
  <w:style w:type="paragraph" w:styleId="BalloonText">
    <w:name w:val="Balloon Text"/>
    <w:basedOn w:val="Normal"/>
    <w:link w:val="BalloonTextChar"/>
    <w:uiPriority w:val="99"/>
    <w:semiHidden/>
    <w:unhideWhenUsed/>
    <w:rsid w:val="00AF6186"/>
    <w:pPr>
      <w:spacing w:line="240" w:lineRule="auto"/>
    </w:pPr>
    <w:rPr>
      <w:rFonts w:ascii="Tahoma" w:hAnsi="Tahoma"/>
      <w:sz w:val="16"/>
      <w:szCs w:val="16"/>
    </w:rPr>
  </w:style>
  <w:style w:type="character" w:customStyle="1" w:styleId="BalloonTextChar">
    <w:name w:val="Balloon Text Char"/>
    <w:link w:val="BalloonText"/>
    <w:uiPriority w:val="99"/>
    <w:semiHidden/>
    <w:rsid w:val="00AF6186"/>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8F6559"/>
    <w:rPr>
      <w:sz w:val="16"/>
      <w:szCs w:val="16"/>
    </w:rPr>
  </w:style>
  <w:style w:type="paragraph" w:styleId="CommentText">
    <w:name w:val="annotation text"/>
    <w:basedOn w:val="Normal"/>
    <w:link w:val="CommentTextChar"/>
    <w:uiPriority w:val="99"/>
    <w:semiHidden/>
    <w:unhideWhenUsed/>
    <w:rsid w:val="008F6559"/>
    <w:pPr>
      <w:spacing w:line="240" w:lineRule="auto"/>
    </w:pPr>
    <w:rPr>
      <w:sz w:val="20"/>
    </w:rPr>
  </w:style>
  <w:style w:type="character" w:customStyle="1" w:styleId="CommentTextChar">
    <w:name w:val="Comment Text Char"/>
    <w:basedOn w:val="DefaultParagraphFont"/>
    <w:link w:val="CommentText"/>
    <w:uiPriority w:val="99"/>
    <w:semiHidden/>
    <w:rsid w:val="008F655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8F6559"/>
    <w:rPr>
      <w:b/>
      <w:bCs/>
    </w:rPr>
  </w:style>
  <w:style w:type="character" w:customStyle="1" w:styleId="CommentSubjectChar">
    <w:name w:val="Comment Subject Char"/>
    <w:basedOn w:val="CommentTextChar"/>
    <w:link w:val="CommentSubject"/>
    <w:uiPriority w:val="99"/>
    <w:semiHidden/>
    <w:rsid w:val="008F6559"/>
    <w:rPr>
      <w:rFonts w:ascii="Verdana" w:hAnsi="Verdana"/>
      <w:b/>
      <w:bCs/>
      <w:lang w:val="en-GB" w:eastAsia="en-US"/>
    </w:rPr>
  </w:style>
  <w:style w:type="paragraph" w:customStyle="1" w:styleId="CBCoverTitleWhite">
    <w:name w:val="CB_Cover Title_White"/>
    <w:basedOn w:val="Normal"/>
    <w:qFormat/>
    <w:rsid w:val="008633B4"/>
    <w:pPr>
      <w:spacing w:after="160" w:line="580" w:lineRule="exact"/>
    </w:pPr>
    <w:rPr>
      <w:rFonts w:asciiTheme="minorHAnsi" w:eastAsiaTheme="minorHAnsi" w:hAnsiTheme="minorHAnsi" w:cstheme="minorBidi"/>
      <w:b/>
      <w:noProof/>
      <w:color w:val="FFFFFF" w:themeColor="background1"/>
      <w:sz w:val="54"/>
      <w:szCs w:val="54"/>
      <w:lang w:val="en-IE" w:eastAsia="en-IE"/>
    </w:rPr>
  </w:style>
  <w:style w:type="paragraph" w:customStyle="1" w:styleId="CBCoverSubtitleLightWhite">
    <w:name w:val="CB_Cover Subtitle_Light_White"/>
    <w:basedOn w:val="Normal"/>
    <w:qFormat/>
    <w:rsid w:val="008633B4"/>
    <w:pPr>
      <w:spacing w:after="160" w:line="580" w:lineRule="exact"/>
    </w:pPr>
    <w:rPr>
      <w:rFonts w:ascii="Lato Light" w:eastAsiaTheme="minorHAnsi" w:hAnsi="Lato Light" w:cstheme="minorBidi"/>
      <w:color w:val="FFFFFF" w:themeColor="background1"/>
      <w:sz w:val="54"/>
      <w:szCs w:val="54"/>
      <w:lang w:val="en-IE"/>
    </w:rPr>
  </w:style>
  <w:style w:type="character" w:styleId="Hyperlink">
    <w:name w:val="Hyperlink"/>
    <w:basedOn w:val="DefaultParagraphFont"/>
    <w:uiPriority w:val="99"/>
    <w:semiHidden/>
    <w:unhideWhenUsed/>
    <w:rsid w:val="002342C8"/>
    <w:rPr>
      <w:color w:val="0563C1"/>
      <w:u w:val="single"/>
    </w:rPr>
  </w:style>
  <w:style w:type="paragraph" w:styleId="ListParagraph">
    <w:name w:val="List Paragraph"/>
    <w:basedOn w:val="Normal"/>
    <w:uiPriority w:val="34"/>
    <w:qFormat/>
    <w:rsid w:val="0031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39567">
      <w:bodyDiv w:val="1"/>
      <w:marLeft w:val="0"/>
      <w:marRight w:val="0"/>
      <w:marTop w:val="0"/>
      <w:marBottom w:val="0"/>
      <w:divBdr>
        <w:top w:val="none" w:sz="0" w:space="0" w:color="auto"/>
        <w:left w:val="none" w:sz="0" w:space="0" w:color="auto"/>
        <w:bottom w:val="none" w:sz="0" w:space="0" w:color="auto"/>
        <w:right w:val="none" w:sz="0" w:space="0" w:color="auto"/>
      </w:divBdr>
    </w:div>
    <w:div w:id="1123813377">
      <w:bodyDiv w:val="1"/>
      <w:marLeft w:val="0"/>
      <w:marRight w:val="0"/>
      <w:marTop w:val="0"/>
      <w:marBottom w:val="0"/>
      <w:divBdr>
        <w:top w:val="none" w:sz="0" w:space="0" w:color="auto"/>
        <w:left w:val="none" w:sz="0" w:space="0" w:color="auto"/>
        <w:bottom w:val="none" w:sz="0" w:space="0" w:color="auto"/>
        <w:right w:val="none" w:sz="0" w:space="0" w:color="auto"/>
      </w:divBdr>
    </w:div>
    <w:div w:id="1325403142">
      <w:bodyDiv w:val="1"/>
      <w:marLeft w:val="0"/>
      <w:marRight w:val="0"/>
      <w:marTop w:val="0"/>
      <w:marBottom w:val="0"/>
      <w:divBdr>
        <w:top w:val="none" w:sz="0" w:space="0" w:color="auto"/>
        <w:left w:val="none" w:sz="0" w:space="0" w:color="auto"/>
        <w:bottom w:val="none" w:sz="0" w:space="0" w:color="auto"/>
        <w:right w:val="none" w:sz="0" w:space="0" w:color="auto"/>
      </w:divBdr>
    </w:div>
    <w:div w:id="13328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4170-54F1-4409-A5D6-C182FED9BFC9}">
  <ds:schemaRefs>
    <ds:schemaRef ds:uri="http://schemas.microsoft.com/office/2006/metadata/longProperties"/>
  </ds:schemaRefs>
</ds:datastoreItem>
</file>

<file path=customXml/itemProps2.xml><?xml version="1.0" encoding="utf-8"?>
<ds:datastoreItem xmlns:ds="http://schemas.openxmlformats.org/officeDocument/2006/customXml" ds:itemID="{DDFB2757-8830-474F-AA81-ECC5B719887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E4F2DA5-52CF-4202-9E0F-646398A8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2021-02-16T11:19:00Z</dcterms:created>
  <dcterms:modified xsi:type="dcterms:W3CDTF">2021-02-16T11:19:00Z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e5e07482-8447-45e1-8e89-301445745b38</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