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D302" w14:textId="77777777" w:rsidR="00511B3E" w:rsidRPr="004E6794" w:rsidRDefault="00EF082F" w:rsidP="00DA1668">
      <w:pPr>
        <w:spacing w:line="240" w:lineRule="auto"/>
        <w:ind w:left="720"/>
        <w:jc w:val="both"/>
        <w:rPr>
          <w:rFonts w:ascii="Lato" w:hAnsi="Lato"/>
        </w:rPr>
      </w:pPr>
      <w:r>
        <w:rPr>
          <w:rFonts w:ascii="Lato" w:hAnsi="Lato"/>
          <w:noProof/>
          <w:lang w:val="en-IE" w:eastAsia="en-IE"/>
        </w:rPr>
        <w:drawing>
          <wp:anchor distT="0" distB="0" distL="114300" distR="114300" simplePos="0" relativeHeight="251666944" behindDoc="1" locked="0" layoutInCell="1" allowOverlap="1" wp14:anchorId="59E6C1D4" wp14:editId="04A6BD82">
            <wp:simplePos x="0" y="0"/>
            <wp:positionH relativeFrom="column">
              <wp:posOffset>-1128712</wp:posOffset>
            </wp:positionH>
            <wp:positionV relativeFrom="paragraph">
              <wp:posOffset>-1127125</wp:posOffset>
            </wp:positionV>
            <wp:extent cx="7576185" cy="10887075"/>
            <wp:effectExtent l="0" t="0" r="571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7294" cy="10888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901" w14:textId="77777777" w:rsidR="00511B3E" w:rsidRPr="004E6794" w:rsidRDefault="00511B3E" w:rsidP="00DA1668">
      <w:pPr>
        <w:spacing w:line="240" w:lineRule="auto"/>
        <w:ind w:left="720"/>
        <w:jc w:val="both"/>
        <w:rPr>
          <w:rFonts w:ascii="Lato" w:hAnsi="Lato"/>
        </w:rPr>
      </w:pPr>
    </w:p>
    <w:p w14:paraId="2FA54476" w14:textId="77777777" w:rsidR="00511B3E" w:rsidRPr="004E6794" w:rsidRDefault="00511B3E" w:rsidP="00DA1668">
      <w:pPr>
        <w:tabs>
          <w:tab w:val="left" w:pos="5280"/>
        </w:tabs>
        <w:spacing w:line="240" w:lineRule="auto"/>
        <w:ind w:left="720"/>
        <w:jc w:val="both"/>
        <w:rPr>
          <w:rFonts w:ascii="Lato" w:hAnsi="Lato"/>
        </w:rPr>
      </w:pPr>
    </w:p>
    <w:p w14:paraId="72402613" w14:textId="77777777" w:rsidR="00511B3E" w:rsidRPr="004E6794" w:rsidRDefault="00511B3E" w:rsidP="00DA1668">
      <w:pPr>
        <w:spacing w:line="240" w:lineRule="auto"/>
        <w:ind w:left="720"/>
        <w:jc w:val="both"/>
        <w:rPr>
          <w:rFonts w:ascii="Lato" w:hAnsi="Lato"/>
        </w:rPr>
      </w:pPr>
    </w:p>
    <w:p w14:paraId="2201A47C" w14:textId="77777777" w:rsidR="00511B3E" w:rsidRPr="004E6794" w:rsidRDefault="00944C8B" w:rsidP="00DA1668">
      <w:pPr>
        <w:spacing w:line="240" w:lineRule="auto"/>
        <w:ind w:left="720"/>
        <w:jc w:val="both"/>
        <w:rPr>
          <w:rFonts w:ascii="Lato" w:hAnsi="Lato"/>
        </w:rPr>
      </w:pPr>
      <w:r w:rsidRPr="004E6794">
        <w:rPr>
          <w:rFonts w:ascii="Lato" w:hAnsi="Lato"/>
          <w:noProof/>
          <w:sz w:val="24"/>
          <w:szCs w:val="24"/>
          <w:lang w:val="en-IE" w:eastAsia="en-IE"/>
        </w:rPr>
        <mc:AlternateContent>
          <mc:Choice Requires="wps">
            <w:drawing>
              <wp:anchor distT="0" distB="0" distL="114300" distR="114300" simplePos="0" relativeHeight="251656704" behindDoc="0" locked="0" layoutInCell="1" allowOverlap="1" wp14:anchorId="0BC0CF64" wp14:editId="7EE0D46A">
                <wp:simplePos x="0" y="0"/>
                <wp:positionH relativeFrom="column">
                  <wp:posOffset>2114550</wp:posOffset>
                </wp:positionH>
                <wp:positionV relativeFrom="paragraph">
                  <wp:posOffset>24130</wp:posOffset>
                </wp:positionV>
                <wp:extent cx="3895725" cy="866775"/>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74C" w14:textId="77777777" w:rsidR="00053C02" w:rsidRPr="004A35A6" w:rsidRDefault="00053C02" w:rsidP="004A3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CF64" id="_x0000_t202" coordsize="21600,21600" o:spt="202" path="m,l,21600r21600,l21600,xe">
                <v:stroke joinstyle="miter"/>
                <v:path gradientshapeok="t" o:connecttype="rect"/>
              </v:shapetype>
              <v:shape id="Text Box 20" o:spid="_x0000_s1026" type="#_x0000_t202" style="position:absolute;left:0;text-align:left;margin-left:166.5pt;margin-top:1.9pt;width:306.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" filled="f" stroked="f">
                <v:textbox inset="0,0,0,0">
                  <w:txbxContent>
                    <w:p w14:paraId="23EAC74C" w14:textId="77777777" w:rsidR="00053C02" w:rsidRPr="004A35A6" w:rsidRDefault="00053C02" w:rsidP="004A35A6"/>
                  </w:txbxContent>
                </v:textbox>
              </v:shape>
            </w:pict>
          </mc:Fallback>
        </mc:AlternateContent>
      </w:r>
    </w:p>
    <w:p w14:paraId="340FED02" w14:textId="77777777" w:rsidR="00511B3E" w:rsidRPr="004E6794" w:rsidRDefault="00511B3E" w:rsidP="00DA1668">
      <w:pPr>
        <w:spacing w:line="240" w:lineRule="auto"/>
        <w:ind w:left="720"/>
        <w:jc w:val="both"/>
        <w:rPr>
          <w:rFonts w:ascii="Lato" w:hAnsi="Lato"/>
        </w:rPr>
      </w:pPr>
    </w:p>
    <w:p w14:paraId="620435E6" w14:textId="77777777" w:rsidR="00511B3E" w:rsidRPr="004E6794" w:rsidRDefault="00511B3E" w:rsidP="00DA1668">
      <w:pPr>
        <w:spacing w:line="240" w:lineRule="auto"/>
        <w:ind w:left="720"/>
        <w:jc w:val="both"/>
        <w:rPr>
          <w:rFonts w:ascii="Lato" w:hAnsi="Lato"/>
        </w:rPr>
      </w:pPr>
    </w:p>
    <w:p w14:paraId="5694A008" w14:textId="77777777" w:rsidR="00511B3E" w:rsidRPr="004E6794" w:rsidRDefault="00511B3E" w:rsidP="00DA1668">
      <w:pPr>
        <w:spacing w:line="240" w:lineRule="auto"/>
        <w:ind w:left="720"/>
        <w:jc w:val="both"/>
        <w:rPr>
          <w:rFonts w:ascii="Lato" w:hAnsi="Lato"/>
        </w:rPr>
      </w:pPr>
    </w:p>
    <w:p w14:paraId="1ECC26D4" w14:textId="77777777" w:rsidR="00511B3E" w:rsidRPr="004E6794" w:rsidRDefault="00511B3E" w:rsidP="00DA1668">
      <w:pPr>
        <w:spacing w:line="240" w:lineRule="auto"/>
        <w:ind w:left="720"/>
        <w:jc w:val="both"/>
        <w:rPr>
          <w:rFonts w:ascii="Lato" w:hAnsi="Lato"/>
        </w:rPr>
      </w:pPr>
    </w:p>
    <w:p w14:paraId="18FA5747" w14:textId="77777777" w:rsidR="00511B3E" w:rsidRPr="004E6794" w:rsidRDefault="00511B3E" w:rsidP="00DA1668">
      <w:pPr>
        <w:spacing w:line="240" w:lineRule="auto"/>
        <w:ind w:left="720"/>
        <w:jc w:val="both"/>
        <w:rPr>
          <w:rFonts w:ascii="Lato" w:hAnsi="Lato"/>
        </w:rPr>
      </w:pPr>
    </w:p>
    <w:p w14:paraId="56F3047A" w14:textId="77777777" w:rsidR="00511B3E" w:rsidRPr="004E6794" w:rsidRDefault="00511B3E" w:rsidP="00DA1668">
      <w:pPr>
        <w:spacing w:line="240" w:lineRule="auto"/>
        <w:ind w:left="720"/>
        <w:jc w:val="both"/>
        <w:rPr>
          <w:rFonts w:ascii="Lato" w:hAnsi="Lato"/>
        </w:rPr>
      </w:pPr>
    </w:p>
    <w:p w14:paraId="43FF9350" w14:textId="77777777" w:rsidR="00511B3E" w:rsidRPr="004E6794" w:rsidRDefault="00511B3E" w:rsidP="00DA1668">
      <w:pPr>
        <w:spacing w:line="240" w:lineRule="auto"/>
        <w:ind w:left="720"/>
        <w:jc w:val="both"/>
        <w:rPr>
          <w:rFonts w:ascii="Lato" w:hAnsi="Lato"/>
        </w:rPr>
      </w:pPr>
    </w:p>
    <w:p w14:paraId="3EC3397B" w14:textId="77777777" w:rsidR="00511B3E" w:rsidRPr="004E6794" w:rsidRDefault="00511B3E" w:rsidP="00DA1668">
      <w:pPr>
        <w:spacing w:line="240" w:lineRule="auto"/>
        <w:ind w:left="720"/>
        <w:jc w:val="both"/>
        <w:rPr>
          <w:rFonts w:ascii="Lato" w:hAnsi="Lato"/>
        </w:rPr>
      </w:pPr>
    </w:p>
    <w:p w14:paraId="62810038" w14:textId="77777777" w:rsidR="00511B3E" w:rsidRPr="004E6794" w:rsidRDefault="00511B3E" w:rsidP="00DA1668">
      <w:pPr>
        <w:spacing w:line="240" w:lineRule="auto"/>
        <w:ind w:left="720"/>
        <w:jc w:val="both"/>
        <w:rPr>
          <w:rFonts w:ascii="Lato" w:hAnsi="Lato"/>
        </w:rPr>
      </w:pPr>
    </w:p>
    <w:p w14:paraId="09F24AB3" w14:textId="77777777" w:rsidR="00511B3E" w:rsidRPr="004E6794" w:rsidRDefault="00511B3E" w:rsidP="00DA1668">
      <w:pPr>
        <w:spacing w:line="240" w:lineRule="auto"/>
        <w:ind w:left="720"/>
        <w:jc w:val="both"/>
        <w:rPr>
          <w:rFonts w:ascii="Lato" w:hAnsi="Lato"/>
        </w:rPr>
      </w:pPr>
    </w:p>
    <w:p w14:paraId="2F286D26" w14:textId="77777777" w:rsidR="00511B3E" w:rsidRPr="004E6794" w:rsidRDefault="00511B3E" w:rsidP="00DA1668">
      <w:pPr>
        <w:spacing w:line="240" w:lineRule="auto"/>
        <w:ind w:left="720"/>
        <w:jc w:val="both"/>
        <w:rPr>
          <w:rFonts w:ascii="Lato" w:hAnsi="Lato"/>
        </w:rPr>
      </w:pPr>
    </w:p>
    <w:p w14:paraId="3CF02684" w14:textId="77777777" w:rsidR="00511B3E" w:rsidRPr="004E6794" w:rsidRDefault="00511B3E" w:rsidP="00DA1668">
      <w:pPr>
        <w:spacing w:line="240" w:lineRule="auto"/>
        <w:ind w:left="720"/>
        <w:jc w:val="both"/>
        <w:rPr>
          <w:rFonts w:ascii="Lato" w:hAnsi="Lato"/>
        </w:rPr>
      </w:pPr>
    </w:p>
    <w:p w14:paraId="64027C61" w14:textId="77777777" w:rsidR="00511B3E" w:rsidRPr="004E6794" w:rsidRDefault="00511B3E" w:rsidP="00DA1668">
      <w:pPr>
        <w:spacing w:line="240" w:lineRule="auto"/>
        <w:ind w:left="720"/>
        <w:jc w:val="both"/>
        <w:rPr>
          <w:rFonts w:ascii="Lato" w:hAnsi="Lato"/>
        </w:rPr>
      </w:pPr>
    </w:p>
    <w:p w14:paraId="4E6A7AB1" w14:textId="77777777" w:rsidR="00511B3E" w:rsidRPr="004E6794" w:rsidRDefault="00511B3E" w:rsidP="00DA1668">
      <w:pPr>
        <w:spacing w:line="240" w:lineRule="auto"/>
        <w:ind w:left="720"/>
        <w:jc w:val="both"/>
        <w:rPr>
          <w:rFonts w:ascii="Lato" w:hAnsi="Lato"/>
        </w:rPr>
      </w:pPr>
    </w:p>
    <w:p w14:paraId="43EAE58A" w14:textId="7046999E" w:rsidR="002F284C" w:rsidRPr="00226335" w:rsidRDefault="002F284C" w:rsidP="002F284C">
      <w:pPr>
        <w:pStyle w:val="CBCoverTitleWhite"/>
      </w:pPr>
      <w:r>
        <w:t>Money Market Fund Regulation</w:t>
      </w:r>
    </w:p>
    <w:p w14:paraId="03F5A4A2" w14:textId="65C0D8AD" w:rsidR="000B666B" w:rsidRDefault="00B60CE1" w:rsidP="000B666B">
      <w:pPr>
        <w:pStyle w:val="CBCoverTitleWhite"/>
      </w:pPr>
      <w:r w:rsidRPr="00226335">
        <w:t>Section 2</w:t>
      </w:r>
      <w:r w:rsidR="002F284C">
        <w:t xml:space="preserve"> Prospectus</w:t>
      </w:r>
      <w:r w:rsidR="000B666B" w:rsidRPr="00226335">
        <w:t xml:space="preserve"> </w:t>
      </w:r>
      <w:r w:rsidR="005B47FF">
        <w:t>- ORION</w:t>
      </w:r>
      <w:bookmarkStart w:id="0" w:name="_GoBack"/>
      <w:bookmarkEnd w:id="0"/>
    </w:p>
    <w:p w14:paraId="01B9966C" w14:textId="1BE7B386" w:rsidR="000B666B" w:rsidRPr="00226335" w:rsidRDefault="00DF4787" w:rsidP="000B666B">
      <w:pPr>
        <w:pStyle w:val="CBCoverSubtitleLightWhite"/>
        <w:rPr>
          <w:rFonts w:ascii="Lato" w:hAnsi="Lato"/>
        </w:rPr>
      </w:pPr>
      <w:r>
        <w:rPr>
          <w:rFonts w:ascii="Lato" w:hAnsi="Lato"/>
        </w:rPr>
        <w:t xml:space="preserve">July </w:t>
      </w:r>
      <w:r w:rsidR="000B666B" w:rsidRPr="00226335">
        <w:rPr>
          <w:rFonts w:ascii="Lato" w:hAnsi="Lato"/>
        </w:rPr>
        <w:t>201</w:t>
      </w:r>
      <w:r w:rsidR="00FA08E0">
        <w:rPr>
          <w:rFonts w:ascii="Lato" w:hAnsi="Lato"/>
        </w:rPr>
        <w:t>8</w:t>
      </w:r>
    </w:p>
    <w:p w14:paraId="47CC7038" w14:textId="77777777" w:rsidR="00511B3E" w:rsidRPr="004E6794" w:rsidRDefault="00511B3E" w:rsidP="00DA1668">
      <w:pPr>
        <w:spacing w:line="240" w:lineRule="auto"/>
        <w:ind w:left="720"/>
        <w:jc w:val="both"/>
        <w:rPr>
          <w:rFonts w:ascii="Lato" w:hAnsi="Lato"/>
        </w:rPr>
      </w:pPr>
    </w:p>
    <w:p w14:paraId="08F9FD06" w14:textId="77777777" w:rsidR="00511B3E" w:rsidRPr="004E6794" w:rsidRDefault="00511B3E" w:rsidP="00DA1668">
      <w:pPr>
        <w:spacing w:line="240" w:lineRule="auto"/>
        <w:ind w:left="720"/>
        <w:jc w:val="both"/>
        <w:rPr>
          <w:rFonts w:ascii="Lato" w:hAnsi="Lato"/>
        </w:rPr>
      </w:pPr>
    </w:p>
    <w:p w14:paraId="796C9024" w14:textId="77777777" w:rsidR="00511B3E" w:rsidRPr="004E6794" w:rsidRDefault="00511B3E" w:rsidP="00DA1668">
      <w:pPr>
        <w:spacing w:line="240" w:lineRule="auto"/>
        <w:ind w:left="720"/>
        <w:jc w:val="both"/>
        <w:rPr>
          <w:rFonts w:ascii="Lato" w:hAnsi="Lato"/>
        </w:rPr>
      </w:pPr>
    </w:p>
    <w:p w14:paraId="54E2A16C" w14:textId="77777777" w:rsidR="00511B3E" w:rsidRPr="004E6794" w:rsidRDefault="00511B3E" w:rsidP="00DA1668">
      <w:pPr>
        <w:spacing w:line="240" w:lineRule="auto"/>
        <w:ind w:left="720"/>
        <w:jc w:val="both"/>
        <w:rPr>
          <w:rFonts w:ascii="Lato" w:hAnsi="Lato"/>
        </w:rPr>
      </w:pPr>
    </w:p>
    <w:p w14:paraId="15579F41" w14:textId="77777777" w:rsidR="00511B3E" w:rsidRPr="004E6794" w:rsidRDefault="00511B3E" w:rsidP="00DA1668">
      <w:pPr>
        <w:spacing w:line="240" w:lineRule="auto"/>
        <w:ind w:left="720"/>
        <w:jc w:val="both"/>
        <w:rPr>
          <w:rFonts w:ascii="Lato" w:hAnsi="Lato"/>
        </w:rPr>
      </w:pPr>
    </w:p>
    <w:p w14:paraId="5D852D1F" w14:textId="77777777" w:rsidR="00511B3E" w:rsidRPr="004E6794" w:rsidRDefault="00511B3E" w:rsidP="00DA1668">
      <w:pPr>
        <w:spacing w:line="240" w:lineRule="auto"/>
        <w:ind w:left="720"/>
        <w:jc w:val="both"/>
        <w:rPr>
          <w:rFonts w:ascii="Lato" w:hAnsi="Lato"/>
        </w:rPr>
      </w:pPr>
    </w:p>
    <w:p w14:paraId="5920D40E" w14:textId="77777777" w:rsidR="00511B3E" w:rsidRPr="004E6794" w:rsidRDefault="00511B3E" w:rsidP="00DA1668">
      <w:pPr>
        <w:spacing w:line="240" w:lineRule="auto"/>
        <w:ind w:left="720"/>
        <w:jc w:val="both"/>
        <w:rPr>
          <w:rFonts w:ascii="Lato" w:hAnsi="Lato"/>
        </w:rPr>
      </w:pPr>
    </w:p>
    <w:p w14:paraId="5B73F619" w14:textId="77777777" w:rsidR="00511B3E" w:rsidRPr="004E6794" w:rsidRDefault="00511B3E" w:rsidP="00DA1668">
      <w:pPr>
        <w:spacing w:line="240" w:lineRule="auto"/>
        <w:ind w:left="720"/>
        <w:jc w:val="both"/>
        <w:rPr>
          <w:rFonts w:ascii="Lato" w:hAnsi="Lato"/>
        </w:rPr>
      </w:pPr>
    </w:p>
    <w:p w14:paraId="0AB51532" w14:textId="77777777" w:rsidR="00511B3E" w:rsidRPr="004E6794" w:rsidRDefault="00511B3E" w:rsidP="00DA1668">
      <w:pPr>
        <w:spacing w:line="240" w:lineRule="auto"/>
        <w:ind w:left="720"/>
        <w:jc w:val="both"/>
        <w:rPr>
          <w:rFonts w:ascii="Lato" w:hAnsi="Lato"/>
        </w:rPr>
      </w:pPr>
    </w:p>
    <w:p w14:paraId="5FFAD928" w14:textId="77777777" w:rsidR="00511B3E" w:rsidRPr="004E6794" w:rsidRDefault="00511B3E" w:rsidP="00DA1668">
      <w:pPr>
        <w:spacing w:line="240" w:lineRule="auto"/>
        <w:ind w:left="720"/>
        <w:jc w:val="both"/>
        <w:rPr>
          <w:rFonts w:ascii="Lato" w:hAnsi="Lato"/>
        </w:rPr>
      </w:pPr>
    </w:p>
    <w:p w14:paraId="3569C400" w14:textId="77777777" w:rsidR="00511B3E" w:rsidRPr="004E6794" w:rsidRDefault="00511B3E" w:rsidP="00DA1668">
      <w:pPr>
        <w:spacing w:line="240" w:lineRule="auto"/>
        <w:ind w:left="720"/>
        <w:jc w:val="both"/>
        <w:rPr>
          <w:rFonts w:ascii="Lato" w:hAnsi="Lato"/>
        </w:rPr>
      </w:pPr>
    </w:p>
    <w:p w14:paraId="35910021" w14:textId="77777777" w:rsidR="00511B3E" w:rsidRPr="004E6794" w:rsidRDefault="00511B3E" w:rsidP="00DA1668">
      <w:pPr>
        <w:spacing w:line="240" w:lineRule="auto"/>
        <w:ind w:left="720"/>
        <w:jc w:val="both"/>
        <w:rPr>
          <w:rFonts w:ascii="Lato" w:hAnsi="Lato"/>
        </w:rPr>
      </w:pPr>
    </w:p>
    <w:p w14:paraId="16BEBA72" w14:textId="77777777" w:rsidR="00511B3E" w:rsidRPr="004E6794" w:rsidRDefault="00511B3E" w:rsidP="00DA1668">
      <w:pPr>
        <w:spacing w:line="240" w:lineRule="auto"/>
        <w:ind w:left="720"/>
        <w:jc w:val="both"/>
        <w:rPr>
          <w:rFonts w:ascii="Lato" w:hAnsi="Lato"/>
        </w:rPr>
        <w:sectPr w:rsidR="00511B3E" w:rsidRPr="004E6794" w:rsidSect="004E6794">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titlePg/>
          <w:docGrid w:linePitch="299"/>
        </w:sectPr>
      </w:pPr>
    </w:p>
    <w:p w14:paraId="2E0373B1" w14:textId="4C1CD66C" w:rsidR="00511B3E" w:rsidRPr="004E6794" w:rsidRDefault="00511B3E" w:rsidP="00553AAD">
      <w:pPr>
        <w:spacing w:line="240" w:lineRule="auto"/>
        <w:ind w:left="720"/>
        <w:jc w:val="center"/>
        <w:rPr>
          <w:rFonts w:ascii="Lato" w:hAnsi="Lato"/>
          <w:b/>
          <w:bCs/>
        </w:rPr>
      </w:pPr>
      <w:r w:rsidRPr="004E6794">
        <w:rPr>
          <w:rFonts w:ascii="Lato" w:hAnsi="Lato"/>
          <w:b/>
          <w:bCs/>
        </w:rPr>
        <w:lastRenderedPageBreak/>
        <w:t xml:space="preserve">SECTION 2 </w:t>
      </w:r>
    </w:p>
    <w:p w14:paraId="557A23B1" w14:textId="77777777" w:rsidR="00511B3E" w:rsidRPr="004E6794" w:rsidRDefault="00511B3E" w:rsidP="00553AAD">
      <w:pPr>
        <w:spacing w:line="240" w:lineRule="auto"/>
        <w:ind w:left="720"/>
        <w:jc w:val="center"/>
        <w:rPr>
          <w:rFonts w:ascii="Lato" w:hAnsi="Lato"/>
        </w:rPr>
      </w:pPr>
      <w:r w:rsidRPr="004E6794">
        <w:rPr>
          <w:rFonts w:ascii="Lato" w:hAnsi="Lato"/>
          <w:b/>
          <w:bCs/>
        </w:rPr>
        <w:t>PROSPECTUS</w:t>
      </w:r>
    </w:p>
    <w:p w14:paraId="49B827B3" w14:textId="77777777" w:rsidR="00511B3E" w:rsidRPr="004E6794" w:rsidRDefault="00511B3E" w:rsidP="00DA1668">
      <w:pPr>
        <w:spacing w:line="240" w:lineRule="auto"/>
        <w:ind w:left="720"/>
        <w:jc w:val="both"/>
        <w:rPr>
          <w:rFonts w:ascii="Lato" w:hAnsi="Lato"/>
        </w:rPr>
      </w:pPr>
    </w:p>
    <w:p w14:paraId="34670C1E" w14:textId="77777777" w:rsidR="00511B3E" w:rsidRPr="004E6794" w:rsidRDefault="00511B3E" w:rsidP="00DA1668">
      <w:pPr>
        <w:pStyle w:val="BodyTextIndent"/>
        <w:jc w:val="both"/>
        <w:rPr>
          <w:rFonts w:ascii="Lato" w:hAnsi="Lato"/>
        </w:rPr>
      </w:pPr>
      <w:r w:rsidRPr="004E6794">
        <w:rPr>
          <w:rFonts w:ascii="Lato" w:hAnsi="Lato"/>
        </w:rPr>
        <w:t>Please complete the following by inserting the information requested and ticking the applicant column of boxes (to confirm compliance), unless otherwise indicated</w:t>
      </w:r>
    </w:p>
    <w:tbl>
      <w:tblPr>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
        <w:gridCol w:w="780"/>
        <w:gridCol w:w="212"/>
        <w:gridCol w:w="5045"/>
        <w:gridCol w:w="37"/>
        <w:gridCol w:w="729"/>
        <w:gridCol w:w="90"/>
        <w:gridCol w:w="158"/>
        <w:gridCol w:w="198"/>
        <w:gridCol w:w="1178"/>
        <w:gridCol w:w="183"/>
        <w:gridCol w:w="189"/>
        <w:gridCol w:w="244"/>
        <w:gridCol w:w="445"/>
        <w:gridCol w:w="429"/>
        <w:gridCol w:w="62"/>
        <w:gridCol w:w="366"/>
        <w:gridCol w:w="261"/>
        <w:gridCol w:w="370"/>
      </w:tblGrid>
      <w:tr w:rsidR="00511B3E" w:rsidRPr="00226335" w14:paraId="25684019" w14:textId="77777777" w:rsidTr="00BB6A7F">
        <w:trPr>
          <w:gridBefore w:val="1"/>
          <w:gridAfter w:val="1"/>
          <w:wBefore w:w="173" w:type="dxa"/>
          <w:wAfter w:w="370" w:type="dxa"/>
          <w:cantSplit/>
          <w:trHeight w:val="1286"/>
        </w:trPr>
        <w:tc>
          <w:tcPr>
            <w:tcW w:w="992" w:type="dxa"/>
            <w:gridSpan w:val="2"/>
            <w:tcBorders>
              <w:top w:val="nil"/>
              <w:left w:val="nil"/>
              <w:bottom w:val="nil"/>
              <w:right w:val="nil"/>
            </w:tcBorders>
          </w:tcPr>
          <w:p w14:paraId="70489BA2" w14:textId="77777777" w:rsidR="00511B3E" w:rsidRPr="004E6794" w:rsidRDefault="00511B3E" w:rsidP="00DA1668">
            <w:pPr>
              <w:spacing w:line="240" w:lineRule="auto"/>
              <w:jc w:val="both"/>
              <w:rPr>
                <w:rFonts w:ascii="Lato" w:hAnsi="Lato"/>
              </w:rPr>
            </w:pPr>
          </w:p>
        </w:tc>
        <w:tc>
          <w:tcPr>
            <w:tcW w:w="5045" w:type="dxa"/>
            <w:tcBorders>
              <w:top w:val="nil"/>
              <w:left w:val="nil"/>
              <w:bottom w:val="nil"/>
              <w:right w:val="nil"/>
            </w:tcBorders>
          </w:tcPr>
          <w:p w14:paraId="2C8793A8" w14:textId="77777777" w:rsidR="00511B3E" w:rsidRPr="004E6794" w:rsidRDefault="00511B3E" w:rsidP="00DA1668">
            <w:pPr>
              <w:spacing w:line="240" w:lineRule="auto"/>
              <w:jc w:val="both"/>
              <w:rPr>
                <w:rFonts w:ascii="Lato" w:hAnsi="Lato"/>
              </w:rPr>
            </w:pPr>
          </w:p>
        </w:tc>
        <w:tc>
          <w:tcPr>
            <w:tcW w:w="766" w:type="dxa"/>
            <w:gridSpan w:val="2"/>
            <w:tcBorders>
              <w:top w:val="nil"/>
              <w:left w:val="nil"/>
              <w:bottom w:val="nil"/>
              <w:right w:val="nil"/>
            </w:tcBorders>
            <w:textDirection w:val="btLr"/>
          </w:tcPr>
          <w:p w14:paraId="68386CF8" w14:textId="77777777" w:rsidR="00511B3E" w:rsidRPr="004E6794" w:rsidRDefault="00511B3E" w:rsidP="00DA1668">
            <w:pPr>
              <w:pStyle w:val="BlockText"/>
              <w:jc w:val="both"/>
              <w:rPr>
                <w:rFonts w:ascii="Lato" w:hAnsi="Lato"/>
              </w:rPr>
            </w:pPr>
            <w:r w:rsidRPr="004E6794">
              <w:rPr>
                <w:rFonts w:ascii="Lato" w:hAnsi="Lato"/>
              </w:rPr>
              <w:t>Applicant</w:t>
            </w:r>
          </w:p>
          <w:p w14:paraId="57B9573C" w14:textId="77777777" w:rsidR="00511B3E" w:rsidRPr="004E6794" w:rsidRDefault="00511B3E" w:rsidP="00DA1668">
            <w:pPr>
              <w:spacing w:line="240" w:lineRule="auto"/>
              <w:ind w:left="113" w:right="113"/>
              <w:jc w:val="both"/>
              <w:rPr>
                <w:rFonts w:ascii="Lato" w:hAnsi="Lato"/>
              </w:rPr>
            </w:pPr>
          </w:p>
        </w:tc>
        <w:tc>
          <w:tcPr>
            <w:tcW w:w="248" w:type="dxa"/>
            <w:gridSpan w:val="2"/>
            <w:tcBorders>
              <w:top w:val="nil"/>
              <w:left w:val="nil"/>
              <w:bottom w:val="nil"/>
              <w:right w:val="nil"/>
            </w:tcBorders>
            <w:textDirection w:val="btLr"/>
          </w:tcPr>
          <w:p w14:paraId="7C547D46" w14:textId="77777777" w:rsidR="00511B3E" w:rsidRPr="004E6794" w:rsidRDefault="00511B3E" w:rsidP="00DA1668">
            <w:pPr>
              <w:spacing w:line="240" w:lineRule="auto"/>
              <w:ind w:left="113" w:right="113"/>
              <w:jc w:val="both"/>
              <w:rPr>
                <w:rFonts w:ascii="Lato" w:hAnsi="Lato"/>
              </w:rPr>
            </w:pPr>
          </w:p>
        </w:tc>
        <w:tc>
          <w:tcPr>
            <w:tcW w:w="1376" w:type="dxa"/>
            <w:gridSpan w:val="2"/>
            <w:tcBorders>
              <w:top w:val="nil"/>
              <w:left w:val="nil"/>
              <w:bottom w:val="nil"/>
              <w:right w:val="nil"/>
            </w:tcBorders>
            <w:textDirection w:val="btLr"/>
          </w:tcPr>
          <w:p w14:paraId="5056D686" w14:textId="77777777" w:rsidR="00511B3E" w:rsidRPr="004E6794" w:rsidRDefault="00511B3E" w:rsidP="00DA1668">
            <w:pPr>
              <w:spacing w:line="240" w:lineRule="auto"/>
              <w:ind w:left="113" w:right="113"/>
              <w:jc w:val="both"/>
              <w:rPr>
                <w:rFonts w:ascii="Lato" w:hAnsi="Lato"/>
                <w:b/>
                <w:bCs/>
              </w:rPr>
            </w:pPr>
            <w:r w:rsidRPr="004E6794">
              <w:rPr>
                <w:rFonts w:ascii="Lato" w:hAnsi="Lato"/>
                <w:b/>
                <w:bCs/>
              </w:rPr>
              <w:t>Applicant</w:t>
            </w:r>
          </w:p>
        </w:tc>
        <w:tc>
          <w:tcPr>
            <w:tcW w:w="372" w:type="dxa"/>
            <w:gridSpan w:val="2"/>
            <w:tcBorders>
              <w:top w:val="nil"/>
              <w:left w:val="nil"/>
              <w:bottom w:val="nil"/>
              <w:right w:val="nil"/>
            </w:tcBorders>
            <w:textDirection w:val="btLr"/>
          </w:tcPr>
          <w:p w14:paraId="2E70A254" w14:textId="77777777" w:rsidR="00511B3E" w:rsidRPr="004E6794" w:rsidRDefault="00511B3E" w:rsidP="00DA1668">
            <w:pPr>
              <w:spacing w:line="240" w:lineRule="auto"/>
              <w:ind w:left="113" w:right="113"/>
              <w:jc w:val="both"/>
              <w:rPr>
                <w:rFonts w:ascii="Lato" w:hAnsi="Lato"/>
              </w:rPr>
            </w:pPr>
          </w:p>
        </w:tc>
        <w:tc>
          <w:tcPr>
            <w:tcW w:w="689" w:type="dxa"/>
            <w:gridSpan w:val="2"/>
            <w:tcBorders>
              <w:top w:val="nil"/>
              <w:left w:val="nil"/>
              <w:bottom w:val="nil"/>
              <w:right w:val="nil"/>
            </w:tcBorders>
            <w:textDirection w:val="btLr"/>
          </w:tcPr>
          <w:p w14:paraId="32104D94" w14:textId="77777777" w:rsidR="00511B3E" w:rsidRPr="004E6794" w:rsidRDefault="00511B3E" w:rsidP="00DA1668">
            <w:pPr>
              <w:pStyle w:val="Heading7"/>
              <w:jc w:val="both"/>
              <w:rPr>
                <w:rFonts w:ascii="Lato" w:hAnsi="Lato"/>
              </w:rPr>
            </w:pPr>
            <w:r w:rsidRPr="004E6794">
              <w:rPr>
                <w:rFonts w:ascii="Lato" w:hAnsi="Lato"/>
              </w:rPr>
              <w:t>Applicant</w:t>
            </w:r>
          </w:p>
        </w:tc>
        <w:tc>
          <w:tcPr>
            <w:tcW w:w="429" w:type="dxa"/>
            <w:tcBorders>
              <w:top w:val="nil"/>
              <w:left w:val="nil"/>
              <w:bottom w:val="nil"/>
              <w:right w:val="nil"/>
            </w:tcBorders>
            <w:textDirection w:val="btLr"/>
          </w:tcPr>
          <w:p w14:paraId="367CF12C" w14:textId="77777777" w:rsidR="00511B3E" w:rsidRPr="004E6794" w:rsidRDefault="00511B3E" w:rsidP="00DA1668">
            <w:pPr>
              <w:spacing w:line="240" w:lineRule="auto"/>
              <w:ind w:left="113" w:right="113"/>
              <w:jc w:val="both"/>
              <w:rPr>
                <w:rFonts w:ascii="Lato" w:hAnsi="Lato"/>
              </w:rPr>
            </w:pPr>
          </w:p>
        </w:tc>
        <w:tc>
          <w:tcPr>
            <w:tcW w:w="689" w:type="dxa"/>
            <w:gridSpan w:val="3"/>
            <w:tcBorders>
              <w:top w:val="nil"/>
              <w:left w:val="nil"/>
              <w:bottom w:val="nil"/>
              <w:right w:val="nil"/>
            </w:tcBorders>
            <w:textDirection w:val="btLr"/>
          </w:tcPr>
          <w:p w14:paraId="723CE69E" w14:textId="77777777" w:rsidR="00511B3E" w:rsidRPr="004E6794" w:rsidRDefault="00511B3E" w:rsidP="00DA1668">
            <w:pPr>
              <w:pStyle w:val="Heading7"/>
              <w:jc w:val="both"/>
              <w:rPr>
                <w:rFonts w:ascii="Lato" w:hAnsi="Lato"/>
              </w:rPr>
            </w:pPr>
          </w:p>
        </w:tc>
      </w:tr>
      <w:tr w:rsidR="00511B3E" w:rsidRPr="00226335" w14:paraId="6D6053FF" w14:textId="77777777" w:rsidTr="00BB6A7F">
        <w:trPr>
          <w:gridBefore w:val="1"/>
          <w:gridAfter w:val="1"/>
          <w:wBefore w:w="173" w:type="dxa"/>
          <w:wAfter w:w="370" w:type="dxa"/>
        </w:trPr>
        <w:tc>
          <w:tcPr>
            <w:tcW w:w="992" w:type="dxa"/>
            <w:gridSpan w:val="2"/>
            <w:tcBorders>
              <w:top w:val="nil"/>
              <w:left w:val="nil"/>
              <w:bottom w:val="nil"/>
              <w:right w:val="nil"/>
            </w:tcBorders>
          </w:tcPr>
          <w:p w14:paraId="2B6FCCEF" w14:textId="77777777" w:rsidR="00511B3E" w:rsidRPr="004E6794" w:rsidRDefault="00511B3E" w:rsidP="00DA1668">
            <w:pPr>
              <w:spacing w:line="240" w:lineRule="auto"/>
              <w:jc w:val="both"/>
              <w:rPr>
                <w:rFonts w:ascii="Lato" w:hAnsi="Lato"/>
                <w:b/>
                <w:bCs/>
              </w:rPr>
            </w:pPr>
          </w:p>
        </w:tc>
        <w:tc>
          <w:tcPr>
            <w:tcW w:w="5045" w:type="dxa"/>
            <w:tcBorders>
              <w:top w:val="nil"/>
              <w:left w:val="nil"/>
              <w:bottom w:val="nil"/>
              <w:right w:val="nil"/>
            </w:tcBorders>
          </w:tcPr>
          <w:p w14:paraId="7B15BC18" w14:textId="77777777" w:rsidR="00511B3E" w:rsidRPr="004E6794" w:rsidRDefault="00511B3E" w:rsidP="00DA1668">
            <w:pPr>
              <w:spacing w:line="240" w:lineRule="auto"/>
              <w:jc w:val="both"/>
              <w:rPr>
                <w:rFonts w:ascii="Lato" w:hAnsi="Lato"/>
                <w:b/>
                <w:bCs/>
              </w:rPr>
            </w:pPr>
          </w:p>
        </w:tc>
        <w:tc>
          <w:tcPr>
            <w:tcW w:w="766" w:type="dxa"/>
            <w:gridSpan w:val="2"/>
            <w:tcBorders>
              <w:top w:val="nil"/>
              <w:left w:val="nil"/>
              <w:bottom w:val="nil"/>
              <w:right w:val="nil"/>
            </w:tcBorders>
          </w:tcPr>
          <w:p w14:paraId="0BDDEBAB" w14:textId="77777777" w:rsidR="00511B3E" w:rsidRPr="004E6794" w:rsidRDefault="00511B3E" w:rsidP="00DA1668">
            <w:pPr>
              <w:pStyle w:val="Heading8"/>
              <w:jc w:val="both"/>
              <w:rPr>
                <w:rFonts w:ascii="Lato" w:hAnsi="Lato"/>
                <w:sz w:val="22"/>
              </w:rPr>
            </w:pPr>
            <w:r w:rsidRPr="004E6794">
              <w:rPr>
                <w:rFonts w:ascii="Lato" w:hAnsi="Lato"/>
                <w:sz w:val="22"/>
              </w:rPr>
              <w:t>Page</w:t>
            </w:r>
          </w:p>
        </w:tc>
        <w:tc>
          <w:tcPr>
            <w:tcW w:w="248" w:type="dxa"/>
            <w:gridSpan w:val="2"/>
            <w:tcBorders>
              <w:top w:val="nil"/>
              <w:left w:val="nil"/>
              <w:bottom w:val="nil"/>
              <w:right w:val="nil"/>
            </w:tcBorders>
          </w:tcPr>
          <w:p w14:paraId="5BA6B7D7" w14:textId="77777777" w:rsidR="00511B3E" w:rsidRPr="004E6794" w:rsidRDefault="00511B3E" w:rsidP="00DA1668">
            <w:pPr>
              <w:spacing w:line="240" w:lineRule="auto"/>
              <w:jc w:val="both"/>
              <w:rPr>
                <w:rFonts w:ascii="Lato" w:hAnsi="Lato"/>
                <w:b/>
                <w:bCs/>
              </w:rPr>
            </w:pPr>
          </w:p>
        </w:tc>
        <w:tc>
          <w:tcPr>
            <w:tcW w:w="1376" w:type="dxa"/>
            <w:gridSpan w:val="2"/>
            <w:tcBorders>
              <w:top w:val="nil"/>
              <w:left w:val="nil"/>
              <w:bottom w:val="nil"/>
              <w:right w:val="nil"/>
            </w:tcBorders>
          </w:tcPr>
          <w:p w14:paraId="25E7A034" w14:textId="77777777" w:rsidR="00511B3E" w:rsidRPr="004E6794" w:rsidRDefault="00511B3E" w:rsidP="00DA1668">
            <w:pPr>
              <w:spacing w:line="240" w:lineRule="auto"/>
              <w:jc w:val="both"/>
              <w:rPr>
                <w:rFonts w:ascii="Lato" w:hAnsi="Lato"/>
                <w:b/>
                <w:bCs/>
              </w:rPr>
            </w:pPr>
            <w:r w:rsidRPr="004E6794">
              <w:rPr>
                <w:rFonts w:ascii="Lato" w:hAnsi="Lato"/>
                <w:b/>
                <w:bCs/>
              </w:rPr>
              <w:t>Paragraph</w:t>
            </w:r>
          </w:p>
        </w:tc>
        <w:tc>
          <w:tcPr>
            <w:tcW w:w="372" w:type="dxa"/>
            <w:gridSpan w:val="2"/>
            <w:tcBorders>
              <w:top w:val="nil"/>
              <w:left w:val="nil"/>
              <w:bottom w:val="nil"/>
              <w:right w:val="nil"/>
            </w:tcBorders>
          </w:tcPr>
          <w:p w14:paraId="41F9B059" w14:textId="77777777" w:rsidR="00511B3E" w:rsidRPr="004E6794" w:rsidRDefault="00511B3E" w:rsidP="00DA1668">
            <w:pPr>
              <w:spacing w:line="240" w:lineRule="auto"/>
              <w:jc w:val="both"/>
              <w:rPr>
                <w:rFonts w:ascii="Lato" w:hAnsi="Lato"/>
                <w:b/>
                <w:bCs/>
              </w:rPr>
            </w:pPr>
          </w:p>
        </w:tc>
        <w:tc>
          <w:tcPr>
            <w:tcW w:w="689" w:type="dxa"/>
            <w:gridSpan w:val="2"/>
            <w:tcBorders>
              <w:top w:val="nil"/>
              <w:left w:val="nil"/>
              <w:bottom w:val="nil"/>
              <w:right w:val="nil"/>
            </w:tcBorders>
          </w:tcPr>
          <w:p w14:paraId="22EF2EC9" w14:textId="77777777" w:rsidR="00511B3E" w:rsidRPr="004E6794" w:rsidRDefault="00511B3E" w:rsidP="00DA1668">
            <w:pPr>
              <w:spacing w:line="240" w:lineRule="auto"/>
              <w:jc w:val="both"/>
              <w:rPr>
                <w:rFonts w:ascii="Lato" w:hAnsi="Lato"/>
                <w:b/>
                <w:bCs/>
              </w:rPr>
            </w:pPr>
          </w:p>
        </w:tc>
        <w:tc>
          <w:tcPr>
            <w:tcW w:w="429" w:type="dxa"/>
            <w:tcBorders>
              <w:top w:val="nil"/>
              <w:left w:val="nil"/>
              <w:bottom w:val="nil"/>
              <w:right w:val="nil"/>
            </w:tcBorders>
          </w:tcPr>
          <w:p w14:paraId="4CE29070" w14:textId="77777777" w:rsidR="00511B3E" w:rsidRPr="004E6794" w:rsidRDefault="00511B3E" w:rsidP="00DA1668">
            <w:pPr>
              <w:spacing w:line="240" w:lineRule="auto"/>
              <w:jc w:val="both"/>
              <w:rPr>
                <w:rFonts w:ascii="Lato" w:hAnsi="Lato"/>
                <w:b/>
                <w:bCs/>
              </w:rPr>
            </w:pPr>
          </w:p>
        </w:tc>
        <w:tc>
          <w:tcPr>
            <w:tcW w:w="689" w:type="dxa"/>
            <w:gridSpan w:val="3"/>
            <w:tcBorders>
              <w:top w:val="nil"/>
              <w:left w:val="nil"/>
              <w:bottom w:val="nil"/>
              <w:right w:val="nil"/>
            </w:tcBorders>
          </w:tcPr>
          <w:p w14:paraId="2ACBF41A" w14:textId="77777777" w:rsidR="00511B3E" w:rsidRPr="004E6794" w:rsidRDefault="00511B3E" w:rsidP="00DA1668">
            <w:pPr>
              <w:spacing w:line="240" w:lineRule="auto"/>
              <w:jc w:val="both"/>
              <w:rPr>
                <w:rFonts w:ascii="Lato" w:hAnsi="Lato"/>
                <w:b/>
                <w:bCs/>
              </w:rPr>
            </w:pPr>
          </w:p>
        </w:tc>
      </w:tr>
      <w:tr w:rsidR="004C0EB2" w:rsidRPr="00226335" w14:paraId="629AB45A" w14:textId="77777777" w:rsidTr="00BB6A7F">
        <w:tc>
          <w:tcPr>
            <w:tcW w:w="953" w:type="dxa"/>
            <w:gridSpan w:val="2"/>
            <w:tcBorders>
              <w:top w:val="nil"/>
              <w:left w:val="nil"/>
              <w:bottom w:val="nil"/>
              <w:right w:val="nil"/>
            </w:tcBorders>
          </w:tcPr>
          <w:p w14:paraId="6BF5DFE1" w14:textId="77777777" w:rsidR="004C0EB2" w:rsidRPr="004E6794" w:rsidRDefault="004C0EB2" w:rsidP="0097389A">
            <w:pPr>
              <w:spacing w:line="240" w:lineRule="auto"/>
              <w:jc w:val="both"/>
              <w:rPr>
                <w:rFonts w:ascii="Lato" w:hAnsi="Lato"/>
              </w:rPr>
            </w:pPr>
          </w:p>
        </w:tc>
        <w:tc>
          <w:tcPr>
            <w:tcW w:w="5294" w:type="dxa"/>
            <w:gridSpan w:val="3"/>
            <w:tcBorders>
              <w:top w:val="nil"/>
              <w:left w:val="nil"/>
              <w:bottom w:val="nil"/>
              <w:right w:val="nil"/>
            </w:tcBorders>
          </w:tcPr>
          <w:p w14:paraId="529AA24A" w14:textId="77777777" w:rsidR="00100CA8" w:rsidRPr="004E6794" w:rsidRDefault="00100CA8" w:rsidP="004E6794">
            <w:pPr>
              <w:spacing w:line="240" w:lineRule="auto"/>
              <w:rPr>
                <w:rFonts w:ascii="Lato" w:hAnsi="Lato"/>
              </w:rPr>
            </w:pPr>
          </w:p>
        </w:tc>
        <w:tc>
          <w:tcPr>
            <w:tcW w:w="819" w:type="dxa"/>
            <w:gridSpan w:val="2"/>
            <w:tcBorders>
              <w:top w:val="nil"/>
              <w:left w:val="nil"/>
              <w:bottom w:val="single" w:sz="4" w:space="0" w:color="auto"/>
              <w:right w:val="nil"/>
            </w:tcBorders>
          </w:tcPr>
          <w:p w14:paraId="1150CBED" w14:textId="77777777" w:rsidR="004C0EB2" w:rsidRPr="004E6794" w:rsidRDefault="004C0EB2" w:rsidP="0097389A">
            <w:pPr>
              <w:spacing w:line="240" w:lineRule="auto"/>
              <w:jc w:val="both"/>
              <w:rPr>
                <w:rFonts w:ascii="Lato" w:hAnsi="Lato"/>
              </w:rPr>
            </w:pPr>
          </w:p>
        </w:tc>
        <w:tc>
          <w:tcPr>
            <w:tcW w:w="356" w:type="dxa"/>
            <w:gridSpan w:val="2"/>
            <w:tcBorders>
              <w:top w:val="nil"/>
              <w:left w:val="nil"/>
              <w:bottom w:val="nil"/>
              <w:right w:val="nil"/>
            </w:tcBorders>
          </w:tcPr>
          <w:p w14:paraId="63ABEACF" w14:textId="77777777" w:rsidR="004C0EB2" w:rsidRPr="004E6794" w:rsidRDefault="004C0EB2" w:rsidP="0097389A">
            <w:pPr>
              <w:spacing w:line="240" w:lineRule="auto"/>
              <w:jc w:val="both"/>
              <w:rPr>
                <w:rFonts w:ascii="Lato" w:hAnsi="Lato"/>
              </w:rPr>
            </w:pPr>
          </w:p>
        </w:tc>
        <w:tc>
          <w:tcPr>
            <w:tcW w:w="1361" w:type="dxa"/>
            <w:gridSpan w:val="2"/>
            <w:tcBorders>
              <w:top w:val="nil"/>
              <w:left w:val="nil"/>
              <w:bottom w:val="single" w:sz="4" w:space="0" w:color="auto"/>
              <w:right w:val="nil"/>
            </w:tcBorders>
          </w:tcPr>
          <w:p w14:paraId="555BEB61" w14:textId="77777777" w:rsidR="004C0EB2" w:rsidRPr="004E6794" w:rsidRDefault="004C0EB2" w:rsidP="0097389A">
            <w:pPr>
              <w:spacing w:line="240" w:lineRule="auto"/>
              <w:jc w:val="both"/>
              <w:rPr>
                <w:rFonts w:ascii="Lato" w:hAnsi="Lato"/>
              </w:rPr>
            </w:pPr>
          </w:p>
        </w:tc>
        <w:tc>
          <w:tcPr>
            <w:tcW w:w="433" w:type="dxa"/>
            <w:gridSpan w:val="2"/>
            <w:tcBorders>
              <w:top w:val="nil"/>
              <w:left w:val="nil"/>
              <w:bottom w:val="nil"/>
              <w:right w:val="nil"/>
            </w:tcBorders>
          </w:tcPr>
          <w:p w14:paraId="4261BC75" w14:textId="77777777" w:rsidR="004C0EB2" w:rsidRPr="004E6794" w:rsidRDefault="004C0EB2" w:rsidP="0097389A">
            <w:pPr>
              <w:spacing w:line="240" w:lineRule="auto"/>
              <w:jc w:val="both"/>
              <w:rPr>
                <w:rFonts w:ascii="Lato" w:hAnsi="Lato"/>
              </w:rPr>
            </w:pPr>
          </w:p>
        </w:tc>
        <w:tc>
          <w:tcPr>
            <w:tcW w:w="936" w:type="dxa"/>
            <w:gridSpan w:val="3"/>
            <w:tcBorders>
              <w:top w:val="nil"/>
              <w:left w:val="nil"/>
              <w:bottom w:val="single" w:sz="4" w:space="0" w:color="auto"/>
              <w:right w:val="nil"/>
            </w:tcBorders>
          </w:tcPr>
          <w:p w14:paraId="3A87B4A3" w14:textId="77777777" w:rsidR="004C0EB2" w:rsidRPr="004E6794" w:rsidRDefault="004C0EB2" w:rsidP="0097389A">
            <w:pPr>
              <w:spacing w:line="240" w:lineRule="auto"/>
              <w:jc w:val="both"/>
              <w:rPr>
                <w:rFonts w:ascii="Lato" w:hAnsi="Lato"/>
              </w:rPr>
            </w:pPr>
          </w:p>
        </w:tc>
        <w:tc>
          <w:tcPr>
            <w:tcW w:w="366" w:type="dxa"/>
            <w:tcBorders>
              <w:top w:val="nil"/>
              <w:left w:val="nil"/>
              <w:bottom w:val="nil"/>
              <w:right w:val="nil"/>
            </w:tcBorders>
          </w:tcPr>
          <w:p w14:paraId="0329ACC8" w14:textId="77777777" w:rsidR="004C0EB2" w:rsidRPr="004E6794" w:rsidRDefault="004C0EB2" w:rsidP="0097389A">
            <w:pPr>
              <w:spacing w:line="240" w:lineRule="auto"/>
              <w:jc w:val="both"/>
              <w:rPr>
                <w:rFonts w:ascii="Lato" w:hAnsi="Lato"/>
              </w:rPr>
            </w:pPr>
          </w:p>
        </w:tc>
        <w:tc>
          <w:tcPr>
            <w:tcW w:w="631" w:type="dxa"/>
            <w:gridSpan w:val="2"/>
            <w:tcBorders>
              <w:top w:val="nil"/>
              <w:left w:val="nil"/>
              <w:bottom w:val="nil"/>
              <w:right w:val="nil"/>
            </w:tcBorders>
          </w:tcPr>
          <w:p w14:paraId="70D626C8" w14:textId="77777777" w:rsidR="004C0EB2" w:rsidRPr="004E6794" w:rsidRDefault="004C0EB2" w:rsidP="0097389A">
            <w:pPr>
              <w:spacing w:line="240" w:lineRule="auto"/>
              <w:jc w:val="both"/>
              <w:rPr>
                <w:rFonts w:ascii="Lato" w:hAnsi="Lato"/>
              </w:rPr>
            </w:pPr>
          </w:p>
        </w:tc>
      </w:tr>
      <w:tr w:rsidR="003739A3" w:rsidRPr="00226335" w14:paraId="407D6C1B" w14:textId="77777777" w:rsidTr="00BB6A7F">
        <w:tc>
          <w:tcPr>
            <w:tcW w:w="953" w:type="dxa"/>
            <w:gridSpan w:val="2"/>
            <w:tcBorders>
              <w:top w:val="nil"/>
              <w:left w:val="nil"/>
              <w:bottom w:val="nil"/>
              <w:right w:val="nil"/>
            </w:tcBorders>
          </w:tcPr>
          <w:p w14:paraId="2428434A" w14:textId="0E02F269" w:rsidR="003739A3" w:rsidRPr="00BB6A7F" w:rsidRDefault="00044060" w:rsidP="0097389A">
            <w:pPr>
              <w:spacing w:line="240" w:lineRule="auto"/>
              <w:jc w:val="both"/>
              <w:rPr>
                <w:rFonts w:ascii="Lato" w:hAnsi="Lato"/>
              </w:rPr>
            </w:pPr>
            <w:r w:rsidRPr="00BB6A7F">
              <w:rPr>
                <w:rFonts w:ascii="Lato" w:hAnsi="Lato"/>
              </w:rPr>
              <w:t>2.1</w:t>
            </w:r>
          </w:p>
        </w:tc>
        <w:tc>
          <w:tcPr>
            <w:tcW w:w="5294" w:type="dxa"/>
            <w:gridSpan w:val="3"/>
            <w:tcBorders>
              <w:top w:val="nil"/>
              <w:left w:val="nil"/>
              <w:bottom w:val="nil"/>
              <w:right w:val="single" w:sz="4" w:space="0" w:color="auto"/>
            </w:tcBorders>
          </w:tcPr>
          <w:p w14:paraId="37AA433A" w14:textId="0B1BFB01" w:rsidR="003739A3" w:rsidRPr="00044060" w:rsidRDefault="00044060">
            <w:pPr>
              <w:spacing w:line="240" w:lineRule="auto"/>
              <w:rPr>
                <w:rFonts w:ascii="Lato" w:hAnsi="Lato"/>
              </w:rPr>
            </w:pPr>
            <w:r w:rsidRPr="007B13FE">
              <w:rPr>
                <w:rFonts w:ascii="Lato" w:hAnsi="Lato"/>
              </w:rPr>
              <w:t>State that the objective of the M</w:t>
            </w:r>
            <w:r w:rsidR="003F0ABD">
              <w:rPr>
                <w:rFonts w:ascii="Lato" w:hAnsi="Lato"/>
              </w:rPr>
              <w:t xml:space="preserve">oney </w:t>
            </w:r>
            <w:r w:rsidRPr="007B13FE">
              <w:rPr>
                <w:rFonts w:ascii="Lato" w:hAnsi="Lato"/>
              </w:rPr>
              <w:t>M</w:t>
            </w:r>
            <w:r w:rsidR="003F0ABD">
              <w:rPr>
                <w:rFonts w:ascii="Lato" w:hAnsi="Lato"/>
              </w:rPr>
              <w:t xml:space="preserve">arket </w:t>
            </w:r>
            <w:r w:rsidRPr="007B13FE">
              <w:rPr>
                <w:rFonts w:ascii="Lato" w:hAnsi="Lato"/>
              </w:rPr>
              <w:t>F</w:t>
            </w:r>
            <w:r w:rsidR="003F0ABD">
              <w:rPr>
                <w:rFonts w:ascii="Lato" w:hAnsi="Lato"/>
              </w:rPr>
              <w:t>und</w:t>
            </w:r>
            <w:r w:rsidRPr="007B13FE">
              <w:rPr>
                <w:rFonts w:ascii="Lato" w:hAnsi="Lato"/>
              </w:rPr>
              <w:t xml:space="preserve"> is </w:t>
            </w:r>
          </w:p>
        </w:tc>
        <w:tc>
          <w:tcPr>
            <w:tcW w:w="819" w:type="dxa"/>
            <w:gridSpan w:val="2"/>
            <w:tcBorders>
              <w:top w:val="single" w:sz="4" w:space="0" w:color="auto"/>
              <w:left w:val="single" w:sz="4" w:space="0" w:color="auto"/>
              <w:bottom w:val="single" w:sz="4" w:space="0" w:color="auto"/>
              <w:right w:val="single" w:sz="4" w:space="0" w:color="auto"/>
            </w:tcBorders>
          </w:tcPr>
          <w:p w14:paraId="19E1DDA4" w14:textId="77777777" w:rsidR="003739A3" w:rsidRPr="004E6794" w:rsidRDefault="003739A3" w:rsidP="0097389A">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900A0B1" w14:textId="77777777" w:rsidR="003739A3" w:rsidRPr="004E6794" w:rsidRDefault="003739A3" w:rsidP="0097389A">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78215E0B" w14:textId="77777777" w:rsidR="003739A3" w:rsidRPr="004E6794" w:rsidRDefault="003739A3" w:rsidP="0097389A">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3321D198" w14:textId="77777777" w:rsidR="003739A3" w:rsidRPr="004E6794" w:rsidRDefault="003739A3" w:rsidP="0097389A">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337288F7" w14:textId="77777777" w:rsidR="003739A3" w:rsidRPr="004E6794" w:rsidRDefault="003739A3" w:rsidP="0097389A">
            <w:pPr>
              <w:spacing w:line="240" w:lineRule="auto"/>
              <w:jc w:val="both"/>
              <w:rPr>
                <w:rFonts w:ascii="Lato" w:hAnsi="Lato"/>
              </w:rPr>
            </w:pPr>
          </w:p>
        </w:tc>
        <w:tc>
          <w:tcPr>
            <w:tcW w:w="366" w:type="dxa"/>
            <w:tcBorders>
              <w:top w:val="nil"/>
              <w:left w:val="single" w:sz="4" w:space="0" w:color="auto"/>
              <w:bottom w:val="nil"/>
              <w:right w:val="nil"/>
            </w:tcBorders>
          </w:tcPr>
          <w:p w14:paraId="4BFD2FEA" w14:textId="77777777" w:rsidR="003739A3" w:rsidRPr="004E6794" w:rsidRDefault="003739A3" w:rsidP="0097389A">
            <w:pPr>
              <w:spacing w:line="240" w:lineRule="auto"/>
              <w:jc w:val="both"/>
              <w:rPr>
                <w:rFonts w:ascii="Lato" w:hAnsi="Lato"/>
              </w:rPr>
            </w:pPr>
          </w:p>
        </w:tc>
        <w:tc>
          <w:tcPr>
            <w:tcW w:w="631" w:type="dxa"/>
            <w:gridSpan w:val="2"/>
            <w:tcBorders>
              <w:top w:val="nil"/>
              <w:left w:val="nil"/>
              <w:bottom w:val="nil"/>
              <w:right w:val="nil"/>
            </w:tcBorders>
          </w:tcPr>
          <w:p w14:paraId="4B240916" w14:textId="77777777" w:rsidR="003739A3" w:rsidRPr="004E6794" w:rsidRDefault="003739A3" w:rsidP="0097389A">
            <w:pPr>
              <w:spacing w:line="240" w:lineRule="auto"/>
              <w:jc w:val="both"/>
              <w:rPr>
                <w:rFonts w:ascii="Lato" w:hAnsi="Lato"/>
              </w:rPr>
            </w:pPr>
          </w:p>
        </w:tc>
      </w:tr>
      <w:tr w:rsidR="003739A3" w:rsidRPr="00226335" w14:paraId="0B56E483" w14:textId="77777777" w:rsidTr="00BB6A7F">
        <w:tc>
          <w:tcPr>
            <w:tcW w:w="953" w:type="dxa"/>
            <w:gridSpan w:val="2"/>
            <w:tcBorders>
              <w:top w:val="nil"/>
              <w:left w:val="nil"/>
              <w:bottom w:val="nil"/>
              <w:right w:val="nil"/>
            </w:tcBorders>
          </w:tcPr>
          <w:p w14:paraId="7FF29E47" w14:textId="77777777" w:rsidR="003739A3" w:rsidRPr="0032593F" w:rsidRDefault="003739A3" w:rsidP="0097389A">
            <w:pPr>
              <w:spacing w:line="240" w:lineRule="auto"/>
              <w:jc w:val="both"/>
              <w:rPr>
                <w:rFonts w:ascii="Lato" w:hAnsi="Lato"/>
              </w:rPr>
            </w:pPr>
          </w:p>
        </w:tc>
        <w:tc>
          <w:tcPr>
            <w:tcW w:w="5294" w:type="dxa"/>
            <w:gridSpan w:val="3"/>
            <w:tcBorders>
              <w:top w:val="nil"/>
              <w:left w:val="nil"/>
              <w:bottom w:val="nil"/>
              <w:right w:val="nil"/>
            </w:tcBorders>
          </w:tcPr>
          <w:p w14:paraId="19AF0367" w14:textId="0BB05FC3" w:rsidR="003739A3" w:rsidRPr="00044060" w:rsidRDefault="008709E3" w:rsidP="004E6794">
            <w:pPr>
              <w:spacing w:line="240" w:lineRule="auto"/>
              <w:rPr>
                <w:rFonts w:ascii="Lato" w:hAnsi="Lato"/>
              </w:rPr>
            </w:pPr>
            <w:r w:rsidRPr="00BB42AD">
              <w:rPr>
                <w:rFonts w:ascii="Lato" w:hAnsi="Lato"/>
              </w:rPr>
              <w:t xml:space="preserve">to </w:t>
            </w:r>
            <w:r w:rsidR="003F0ABD" w:rsidRPr="0001272B">
              <w:rPr>
                <w:rFonts w:ascii="Lato" w:hAnsi="Lato"/>
              </w:rPr>
              <w:t>offer returns</w:t>
            </w:r>
            <w:r w:rsidR="003F0ABD">
              <w:rPr>
                <w:rFonts w:ascii="Lato" w:hAnsi="Lato"/>
              </w:rPr>
              <w:t xml:space="preserve"> in</w:t>
            </w:r>
            <w:r w:rsidR="003F0ABD" w:rsidRPr="00044060">
              <w:rPr>
                <w:rFonts w:ascii="Lato" w:hAnsi="Lato"/>
              </w:rPr>
              <w:t xml:space="preserve"> </w:t>
            </w:r>
            <w:r w:rsidR="00044060" w:rsidRPr="007B13FE">
              <w:rPr>
                <w:rFonts w:ascii="Lato" w:hAnsi="Lato"/>
              </w:rPr>
              <w:t xml:space="preserve">line with money market rates </w:t>
            </w:r>
            <w:r w:rsidR="000C770D">
              <w:rPr>
                <w:rFonts w:ascii="Lato" w:hAnsi="Lato"/>
              </w:rPr>
              <w:t>and/</w:t>
            </w:r>
            <w:r w:rsidR="00044060" w:rsidRPr="007B13FE">
              <w:rPr>
                <w:rFonts w:ascii="Lato" w:hAnsi="Lato"/>
              </w:rPr>
              <w:t>or preserve the value of the investment</w:t>
            </w:r>
          </w:p>
        </w:tc>
        <w:tc>
          <w:tcPr>
            <w:tcW w:w="819" w:type="dxa"/>
            <w:gridSpan w:val="2"/>
            <w:tcBorders>
              <w:top w:val="single" w:sz="4" w:space="0" w:color="auto"/>
              <w:left w:val="nil"/>
              <w:bottom w:val="nil"/>
              <w:right w:val="nil"/>
            </w:tcBorders>
          </w:tcPr>
          <w:p w14:paraId="6A2258C3" w14:textId="77777777" w:rsidR="003739A3" w:rsidRPr="004E6794" w:rsidRDefault="003739A3" w:rsidP="0097389A">
            <w:pPr>
              <w:spacing w:line="240" w:lineRule="auto"/>
              <w:jc w:val="both"/>
              <w:rPr>
                <w:rFonts w:ascii="Lato" w:hAnsi="Lato"/>
              </w:rPr>
            </w:pPr>
          </w:p>
        </w:tc>
        <w:tc>
          <w:tcPr>
            <w:tcW w:w="356" w:type="dxa"/>
            <w:gridSpan w:val="2"/>
            <w:tcBorders>
              <w:top w:val="nil"/>
              <w:left w:val="nil"/>
              <w:bottom w:val="nil"/>
              <w:right w:val="nil"/>
            </w:tcBorders>
          </w:tcPr>
          <w:p w14:paraId="42B42295" w14:textId="77777777" w:rsidR="003739A3" w:rsidRPr="004E6794" w:rsidRDefault="003739A3" w:rsidP="0097389A">
            <w:pPr>
              <w:spacing w:line="240" w:lineRule="auto"/>
              <w:jc w:val="both"/>
              <w:rPr>
                <w:rFonts w:ascii="Lato" w:hAnsi="Lato"/>
              </w:rPr>
            </w:pPr>
          </w:p>
        </w:tc>
        <w:tc>
          <w:tcPr>
            <w:tcW w:w="1361" w:type="dxa"/>
            <w:gridSpan w:val="2"/>
            <w:tcBorders>
              <w:top w:val="single" w:sz="4" w:space="0" w:color="auto"/>
              <w:left w:val="nil"/>
              <w:bottom w:val="nil"/>
              <w:right w:val="nil"/>
            </w:tcBorders>
          </w:tcPr>
          <w:p w14:paraId="139F7DA2" w14:textId="77777777" w:rsidR="003739A3" w:rsidRPr="004E6794" w:rsidRDefault="003739A3" w:rsidP="0097389A">
            <w:pPr>
              <w:spacing w:line="240" w:lineRule="auto"/>
              <w:jc w:val="both"/>
              <w:rPr>
                <w:rFonts w:ascii="Lato" w:hAnsi="Lato"/>
              </w:rPr>
            </w:pPr>
          </w:p>
        </w:tc>
        <w:tc>
          <w:tcPr>
            <w:tcW w:w="433" w:type="dxa"/>
            <w:gridSpan w:val="2"/>
            <w:tcBorders>
              <w:top w:val="nil"/>
              <w:left w:val="nil"/>
              <w:bottom w:val="nil"/>
              <w:right w:val="nil"/>
            </w:tcBorders>
          </w:tcPr>
          <w:p w14:paraId="68A3589C" w14:textId="77777777" w:rsidR="003739A3" w:rsidRPr="004E6794" w:rsidRDefault="003739A3" w:rsidP="0097389A">
            <w:pPr>
              <w:spacing w:line="240" w:lineRule="auto"/>
              <w:jc w:val="both"/>
              <w:rPr>
                <w:rFonts w:ascii="Lato" w:hAnsi="Lato"/>
              </w:rPr>
            </w:pPr>
          </w:p>
        </w:tc>
        <w:tc>
          <w:tcPr>
            <w:tcW w:w="936" w:type="dxa"/>
            <w:gridSpan w:val="3"/>
            <w:tcBorders>
              <w:top w:val="single" w:sz="4" w:space="0" w:color="auto"/>
              <w:left w:val="nil"/>
              <w:bottom w:val="nil"/>
              <w:right w:val="nil"/>
            </w:tcBorders>
          </w:tcPr>
          <w:p w14:paraId="5D8B51AE" w14:textId="77777777" w:rsidR="003739A3" w:rsidRPr="004E6794" w:rsidRDefault="003739A3" w:rsidP="0097389A">
            <w:pPr>
              <w:spacing w:line="240" w:lineRule="auto"/>
              <w:jc w:val="both"/>
              <w:rPr>
                <w:rFonts w:ascii="Lato" w:hAnsi="Lato"/>
              </w:rPr>
            </w:pPr>
          </w:p>
        </w:tc>
        <w:tc>
          <w:tcPr>
            <w:tcW w:w="366" w:type="dxa"/>
            <w:tcBorders>
              <w:top w:val="nil"/>
              <w:left w:val="nil"/>
              <w:bottom w:val="nil"/>
              <w:right w:val="nil"/>
            </w:tcBorders>
          </w:tcPr>
          <w:p w14:paraId="44C96776" w14:textId="77777777" w:rsidR="003739A3" w:rsidRPr="004E6794" w:rsidRDefault="003739A3" w:rsidP="0097389A">
            <w:pPr>
              <w:spacing w:line="240" w:lineRule="auto"/>
              <w:jc w:val="both"/>
              <w:rPr>
                <w:rFonts w:ascii="Lato" w:hAnsi="Lato"/>
              </w:rPr>
            </w:pPr>
          </w:p>
        </w:tc>
        <w:tc>
          <w:tcPr>
            <w:tcW w:w="631" w:type="dxa"/>
            <w:gridSpan w:val="2"/>
            <w:tcBorders>
              <w:top w:val="nil"/>
              <w:left w:val="nil"/>
              <w:bottom w:val="nil"/>
              <w:right w:val="nil"/>
            </w:tcBorders>
          </w:tcPr>
          <w:p w14:paraId="7D92FF3E" w14:textId="77777777" w:rsidR="003739A3" w:rsidRPr="004E6794" w:rsidRDefault="003739A3" w:rsidP="0097389A">
            <w:pPr>
              <w:spacing w:line="240" w:lineRule="auto"/>
              <w:jc w:val="both"/>
              <w:rPr>
                <w:rFonts w:ascii="Lato" w:hAnsi="Lato"/>
              </w:rPr>
            </w:pPr>
          </w:p>
        </w:tc>
      </w:tr>
      <w:tr w:rsidR="003F0ABD" w:rsidRPr="00226335" w14:paraId="1A637974" w14:textId="77777777" w:rsidTr="00BB6A7F">
        <w:tc>
          <w:tcPr>
            <w:tcW w:w="953" w:type="dxa"/>
            <w:gridSpan w:val="2"/>
            <w:tcBorders>
              <w:top w:val="nil"/>
              <w:left w:val="nil"/>
              <w:bottom w:val="nil"/>
              <w:right w:val="nil"/>
            </w:tcBorders>
          </w:tcPr>
          <w:p w14:paraId="3928518A" w14:textId="77777777" w:rsidR="003F0ABD" w:rsidRPr="0032593F" w:rsidRDefault="003F0ABD" w:rsidP="0097389A">
            <w:pPr>
              <w:spacing w:line="240" w:lineRule="auto"/>
              <w:jc w:val="both"/>
              <w:rPr>
                <w:rFonts w:ascii="Lato" w:hAnsi="Lato"/>
              </w:rPr>
            </w:pPr>
          </w:p>
        </w:tc>
        <w:tc>
          <w:tcPr>
            <w:tcW w:w="5294" w:type="dxa"/>
            <w:gridSpan w:val="3"/>
            <w:tcBorders>
              <w:top w:val="nil"/>
              <w:left w:val="nil"/>
              <w:bottom w:val="nil"/>
              <w:right w:val="nil"/>
            </w:tcBorders>
          </w:tcPr>
          <w:p w14:paraId="5ACCE90F" w14:textId="77777777" w:rsidR="003F0ABD" w:rsidRPr="004E6794" w:rsidRDefault="003F0ABD" w:rsidP="004E6794">
            <w:pPr>
              <w:spacing w:line="240" w:lineRule="auto"/>
              <w:rPr>
                <w:rFonts w:ascii="Lato" w:hAnsi="Lato"/>
              </w:rPr>
            </w:pPr>
          </w:p>
        </w:tc>
        <w:tc>
          <w:tcPr>
            <w:tcW w:w="819" w:type="dxa"/>
            <w:gridSpan w:val="2"/>
            <w:tcBorders>
              <w:top w:val="nil"/>
              <w:left w:val="nil"/>
              <w:bottom w:val="single" w:sz="4" w:space="0" w:color="auto"/>
              <w:right w:val="nil"/>
            </w:tcBorders>
          </w:tcPr>
          <w:p w14:paraId="0215BAB2" w14:textId="77777777" w:rsidR="003F0ABD" w:rsidRPr="004E6794" w:rsidRDefault="003F0ABD" w:rsidP="0097389A">
            <w:pPr>
              <w:spacing w:line="240" w:lineRule="auto"/>
              <w:jc w:val="both"/>
              <w:rPr>
                <w:rFonts w:ascii="Lato" w:hAnsi="Lato"/>
              </w:rPr>
            </w:pPr>
          </w:p>
        </w:tc>
        <w:tc>
          <w:tcPr>
            <w:tcW w:w="356" w:type="dxa"/>
            <w:gridSpan w:val="2"/>
            <w:tcBorders>
              <w:top w:val="nil"/>
              <w:left w:val="nil"/>
              <w:bottom w:val="nil"/>
              <w:right w:val="nil"/>
            </w:tcBorders>
          </w:tcPr>
          <w:p w14:paraId="16A7F4C4" w14:textId="77777777" w:rsidR="003F0ABD" w:rsidRPr="004E6794" w:rsidRDefault="003F0ABD" w:rsidP="0097389A">
            <w:pPr>
              <w:spacing w:line="240" w:lineRule="auto"/>
              <w:jc w:val="both"/>
              <w:rPr>
                <w:rFonts w:ascii="Lato" w:hAnsi="Lato"/>
              </w:rPr>
            </w:pPr>
          </w:p>
        </w:tc>
        <w:tc>
          <w:tcPr>
            <w:tcW w:w="1361" w:type="dxa"/>
            <w:gridSpan w:val="2"/>
            <w:tcBorders>
              <w:top w:val="nil"/>
              <w:left w:val="nil"/>
              <w:bottom w:val="single" w:sz="4" w:space="0" w:color="auto"/>
              <w:right w:val="nil"/>
            </w:tcBorders>
          </w:tcPr>
          <w:p w14:paraId="4465BC3A" w14:textId="77777777" w:rsidR="003F0ABD" w:rsidRPr="004E6794" w:rsidRDefault="003F0ABD" w:rsidP="0097389A">
            <w:pPr>
              <w:spacing w:line="240" w:lineRule="auto"/>
              <w:jc w:val="both"/>
              <w:rPr>
                <w:rFonts w:ascii="Lato" w:hAnsi="Lato"/>
              </w:rPr>
            </w:pPr>
          </w:p>
        </w:tc>
        <w:tc>
          <w:tcPr>
            <w:tcW w:w="433" w:type="dxa"/>
            <w:gridSpan w:val="2"/>
            <w:tcBorders>
              <w:top w:val="nil"/>
              <w:left w:val="nil"/>
              <w:bottom w:val="nil"/>
              <w:right w:val="nil"/>
            </w:tcBorders>
          </w:tcPr>
          <w:p w14:paraId="0DF2D052" w14:textId="77777777" w:rsidR="003F0ABD" w:rsidRPr="004E6794" w:rsidRDefault="003F0ABD" w:rsidP="0097389A">
            <w:pPr>
              <w:spacing w:line="240" w:lineRule="auto"/>
              <w:jc w:val="both"/>
              <w:rPr>
                <w:rFonts w:ascii="Lato" w:hAnsi="Lato"/>
              </w:rPr>
            </w:pPr>
          </w:p>
        </w:tc>
        <w:tc>
          <w:tcPr>
            <w:tcW w:w="936" w:type="dxa"/>
            <w:gridSpan w:val="3"/>
            <w:tcBorders>
              <w:top w:val="nil"/>
              <w:left w:val="nil"/>
              <w:bottom w:val="single" w:sz="4" w:space="0" w:color="auto"/>
              <w:right w:val="nil"/>
            </w:tcBorders>
          </w:tcPr>
          <w:p w14:paraId="372E85B3" w14:textId="77777777" w:rsidR="003F0ABD" w:rsidRPr="004E6794" w:rsidRDefault="003F0ABD" w:rsidP="0097389A">
            <w:pPr>
              <w:spacing w:line="240" w:lineRule="auto"/>
              <w:jc w:val="both"/>
              <w:rPr>
                <w:rFonts w:ascii="Lato" w:hAnsi="Lato"/>
              </w:rPr>
            </w:pPr>
          </w:p>
        </w:tc>
        <w:tc>
          <w:tcPr>
            <w:tcW w:w="366" w:type="dxa"/>
            <w:tcBorders>
              <w:top w:val="nil"/>
              <w:left w:val="nil"/>
              <w:bottom w:val="nil"/>
              <w:right w:val="nil"/>
            </w:tcBorders>
          </w:tcPr>
          <w:p w14:paraId="0ECBE871" w14:textId="77777777" w:rsidR="003F0ABD" w:rsidRPr="004E6794" w:rsidRDefault="003F0ABD" w:rsidP="0097389A">
            <w:pPr>
              <w:spacing w:line="240" w:lineRule="auto"/>
              <w:jc w:val="both"/>
              <w:rPr>
                <w:rFonts w:ascii="Lato" w:hAnsi="Lato"/>
              </w:rPr>
            </w:pPr>
          </w:p>
        </w:tc>
        <w:tc>
          <w:tcPr>
            <w:tcW w:w="631" w:type="dxa"/>
            <w:gridSpan w:val="2"/>
            <w:tcBorders>
              <w:top w:val="nil"/>
              <w:left w:val="nil"/>
              <w:bottom w:val="nil"/>
              <w:right w:val="nil"/>
            </w:tcBorders>
          </w:tcPr>
          <w:p w14:paraId="3FA0E44F" w14:textId="77777777" w:rsidR="003F0ABD" w:rsidRPr="004E6794" w:rsidRDefault="003F0ABD" w:rsidP="0097389A">
            <w:pPr>
              <w:spacing w:line="240" w:lineRule="auto"/>
              <w:jc w:val="both"/>
              <w:rPr>
                <w:rFonts w:ascii="Lato" w:hAnsi="Lato"/>
              </w:rPr>
            </w:pPr>
          </w:p>
        </w:tc>
      </w:tr>
      <w:tr w:rsidR="008709E3" w:rsidRPr="00226335" w14:paraId="3FD95234" w14:textId="77777777" w:rsidTr="00BB6A7F">
        <w:tc>
          <w:tcPr>
            <w:tcW w:w="953" w:type="dxa"/>
            <w:gridSpan w:val="2"/>
            <w:tcBorders>
              <w:top w:val="nil"/>
              <w:left w:val="nil"/>
              <w:bottom w:val="nil"/>
              <w:right w:val="nil"/>
            </w:tcBorders>
          </w:tcPr>
          <w:p w14:paraId="2254C72E" w14:textId="2828F98A" w:rsidR="003F0ABD" w:rsidRPr="00BB6A7F" w:rsidRDefault="008709E3" w:rsidP="0097389A">
            <w:pPr>
              <w:spacing w:line="240" w:lineRule="auto"/>
              <w:jc w:val="both"/>
              <w:rPr>
                <w:rFonts w:ascii="Lato" w:hAnsi="Lato"/>
              </w:rPr>
            </w:pPr>
            <w:r w:rsidRPr="00BB6A7F">
              <w:rPr>
                <w:rFonts w:ascii="Lato" w:hAnsi="Lato"/>
              </w:rPr>
              <w:t>2.2</w:t>
            </w:r>
          </w:p>
        </w:tc>
        <w:tc>
          <w:tcPr>
            <w:tcW w:w="5294" w:type="dxa"/>
            <w:gridSpan w:val="3"/>
            <w:tcBorders>
              <w:top w:val="nil"/>
              <w:left w:val="nil"/>
              <w:bottom w:val="nil"/>
              <w:right w:val="single" w:sz="4" w:space="0" w:color="auto"/>
            </w:tcBorders>
          </w:tcPr>
          <w:p w14:paraId="2969EA62" w14:textId="072085A8" w:rsidR="003F0ABD" w:rsidRPr="00693B2A" w:rsidRDefault="00693B2A">
            <w:pPr>
              <w:spacing w:line="240" w:lineRule="auto"/>
              <w:rPr>
                <w:rFonts w:ascii="Lato" w:hAnsi="Lato"/>
              </w:rPr>
            </w:pPr>
            <w:r w:rsidRPr="007B13FE">
              <w:rPr>
                <w:rFonts w:ascii="Lato" w:hAnsi="Lato"/>
              </w:rPr>
              <w:t>Where the M</w:t>
            </w:r>
            <w:r>
              <w:rPr>
                <w:rFonts w:ascii="Lato" w:hAnsi="Lato"/>
              </w:rPr>
              <w:t xml:space="preserve">oney </w:t>
            </w:r>
            <w:r w:rsidRPr="007B13FE">
              <w:rPr>
                <w:rFonts w:ascii="Lato" w:hAnsi="Lato"/>
              </w:rPr>
              <w:t>M</w:t>
            </w:r>
            <w:r>
              <w:rPr>
                <w:rFonts w:ascii="Lato" w:hAnsi="Lato"/>
              </w:rPr>
              <w:t xml:space="preserve">arket </w:t>
            </w:r>
            <w:r w:rsidRPr="007B13FE">
              <w:rPr>
                <w:rFonts w:ascii="Lato" w:hAnsi="Lato"/>
              </w:rPr>
              <w:t>F</w:t>
            </w:r>
            <w:r>
              <w:rPr>
                <w:rFonts w:ascii="Lato" w:hAnsi="Lato"/>
              </w:rPr>
              <w:t>und</w:t>
            </w:r>
            <w:r w:rsidR="00BA0A86">
              <w:rPr>
                <w:rFonts w:ascii="Lato" w:hAnsi="Lato"/>
              </w:rPr>
              <w:t xml:space="preserve"> invests 10</w:t>
            </w:r>
            <w:r w:rsidRPr="007B13FE">
              <w:rPr>
                <w:rFonts w:ascii="Lato" w:hAnsi="Lato"/>
              </w:rPr>
              <w:t xml:space="preserve">% or more </w:t>
            </w:r>
          </w:p>
        </w:tc>
        <w:tc>
          <w:tcPr>
            <w:tcW w:w="819" w:type="dxa"/>
            <w:gridSpan w:val="2"/>
            <w:tcBorders>
              <w:top w:val="single" w:sz="4" w:space="0" w:color="auto"/>
              <w:left w:val="single" w:sz="4" w:space="0" w:color="auto"/>
              <w:bottom w:val="single" w:sz="4" w:space="0" w:color="auto"/>
              <w:right w:val="single" w:sz="4" w:space="0" w:color="auto"/>
            </w:tcBorders>
          </w:tcPr>
          <w:p w14:paraId="5F516DB1" w14:textId="77777777" w:rsidR="003F0ABD" w:rsidRPr="004E6794" w:rsidRDefault="003F0ABD" w:rsidP="0097389A">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51EA1310" w14:textId="77777777" w:rsidR="003F0ABD" w:rsidRPr="004E6794" w:rsidRDefault="003F0ABD" w:rsidP="0097389A">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1BEA3F01" w14:textId="77777777" w:rsidR="003F0ABD" w:rsidRPr="004E6794" w:rsidRDefault="003F0ABD" w:rsidP="0097389A">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47FDC50" w14:textId="77777777" w:rsidR="003F0ABD" w:rsidRPr="004E6794" w:rsidRDefault="003F0ABD" w:rsidP="0097389A">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38339F76" w14:textId="77777777" w:rsidR="003F0ABD" w:rsidRPr="004E6794" w:rsidRDefault="003F0ABD" w:rsidP="0097389A">
            <w:pPr>
              <w:spacing w:line="240" w:lineRule="auto"/>
              <w:jc w:val="both"/>
              <w:rPr>
                <w:rFonts w:ascii="Lato" w:hAnsi="Lato"/>
              </w:rPr>
            </w:pPr>
          </w:p>
        </w:tc>
        <w:tc>
          <w:tcPr>
            <w:tcW w:w="366" w:type="dxa"/>
            <w:tcBorders>
              <w:top w:val="nil"/>
              <w:left w:val="single" w:sz="4" w:space="0" w:color="auto"/>
              <w:bottom w:val="nil"/>
              <w:right w:val="nil"/>
            </w:tcBorders>
          </w:tcPr>
          <w:p w14:paraId="2F7946C3" w14:textId="77777777" w:rsidR="003F0ABD" w:rsidRPr="004E6794" w:rsidRDefault="003F0ABD" w:rsidP="0097389A">
            <w:pPr>
              <w:spacing w:line="240" w:lineRule="auto"/>
              <w:jc w:val="both"/>
              <w:rPr>
                <w:rFonts w:ascii="Lato" w:hAnsi="Lato"/>
              </w:rPr>
            </w:pPr>
          </w:p>
        </w:tc>
        <w:tc>
          <w:tcPr>
            <w:tcW w:w="631" w:type="dxa"/>
            <w:gridSpan w:val="2"/>
            <w:tcBorders>
              <w:top w:val="nil"/>
              <w:left w:val="nil"/>
              <w:bottom w:val="nil"/>
              <w:right w:val="nil"/>
            </w:tcBorders>
          </w:tcPr>
          <w:p w14:paraId="5A9C78F6" w14:textId="77777777" w:rsidR="003F0ABD" w:rsidRPr="004E6794" w:rsidRDefault="003F0ABD" w:rsidP="0097389A">
            <w:pPr>
              <w:spacing w:line="240" w:lineRule="auto"/>
              <w:jc w:val="both"/>
              <w:rPr>
                <w:rFonts w:ascii="Lato" w:hAnsi="Lato"/>
              </w:rPr>
            </w:pPr>
          </w:p>
        </w:tc>
      </w:tr>
      <w:tr w:rsidR="008709E3" w:rsidRPr="00226335" w14:paraId="5AB07727" w14:textId="77777777" w:rsidTr="00BB6A7F">
        <w:tc>
          <w:tcPr>
            <w:tcW w:w="953" w:type="dxa"/>
            <w:gridSpan w:val="2"/>
            <w:tcBorders>
              <w:top w:val="nil"/>
              <w:left w:val="nil"/>
              <w:bottom w:val="nil"/>
              <w:right w:val="nil"/>
            </w:tcBorders>
          </w:tcPr>
          <w:p w14:paraId="0E75DBB0" w14:textId="77777777" w:rsidR="00693B2A" w:rsidRPr="0032593F" w:rsidRDefault="00693B2A" w:rsidP="0097389A">
            <w:pPr>
              <w:spacing w:line="240" w:lineRule="auto"/>
              <w:jc w:val="both"/>
              <w:rPr>
                <w:rFonts w:ascii="Lato" w:hAnsi="Lato"/>
              </w:rPr>
            </w:pPr>
          </w:p>
        </w:tc>
        <w:tc>
          <w:tcPr>
            <w:tcW w:w="5294" w:type="dxa"/>
            <w:gridSpan w:val="3"/>
            <w:tcBorders>
              <w:top w:val="nil"/>
              <w:left w:val="nil"/>
              <w:bottom w:val="nil"/>
              <w:right w:val="nil"/>
            </w:tcBorders>
          </w:tcPr>
          <w:p w14:paraId="5A79AB67" w14:textId="58B9879A" w:rsidR="00693B2A" w:rsidRPr="007B13FE" w:rsidRDefault="008709E3" w:rsidP="004E6794">
            <w:pPr>
              <w:spacing w:line="240" w:lineRule="auto"/>
              <w:rPr>
                <w:rFonts w:ascii="Lato" w:hAnsi="Lato"/>
              </w:rPr>
            </w:pPr>
            <w:r w:rsidRPr="00BB42AD">
              <w:rPr>
                <w:rFonts w:ascii="Lato" w:hAnsi="Lato"/>
              </w:rPr>
              <w:t>of</w:t>
            </w:r>
            <w:r w:rsidRPr="0001272B">
              <w:rPr>
                <w:rFonts w:ascii="Lato" w:hAnsi="Lato"/>
              </w:rPr>
              <w:t xml:space="preserve"> </w:t>
            </w:r>
            <w:r w:rsidR="00693B2A" w:rsidRPr="0001272B">
              <w:rPr>
                <w:rFonts w:ascii="Lato" w:hAnsi="Lato"/>
              </w:rPr>
              <w:t>its assets in</w:t>
            </w:r>
            <w:r w:rsidR="00693B2A" w:rsidRPr="00693B2A">
              <w:rPr>
                <w:rFonts w:ascii="Lato" w:hAnsi="Lato"/>
              </w:rPr>
              <w:t xml:space="preserve"> </w:t>
            </w:r>
            <w:r w:rsidR="00693B2A" w:rsidRPr="007B13FE">
              <w:rPr>
                <w:rFonts w:ascii="Lato" w:hAnsi="Lato"/>
              </w:rPr>
              <w:t>units or shares of other M</w:t>
            </w:r>
            <w:r w:rsidR="005C25ED">
              <w:rPr>
                <w:rFonts w:ascii="Lato" w:hAnsi="Lato"/>
              </w:rPr>
              <w:t xml:space="preserve">oney </w:t>
            </w:r>
            <w:r w:rsidR="00693B2A" w:rsidRPr="007B13FE">
              <w:rPr>
                <w:rFonts w:ascii="Lato" w:hAnsi="Lato"/>
              </w:rPr>
              <w:t>M</w:t>
            </w:r>
            <w:r w:rsidR="005C25ED">
              <w:rPr>
                <w:rFonts w:ascii="Lato" w:hAnsi="Lato"/>
              </w:rPr>
              <w:t xml:space="preserve">arket </w:t>
            </w:r>
            <w:r w:rsidR="00693B2A" w:rsidRPr="007B13FE">
              <w:rPr>
                <w:rFonts w:ascii="Lato" w:hAnsi="Lato"/>
              </w:rPr>
              <w:t>F</w:t>
            </w:r>
            <w:r w:rsidR="005C25ED">
              <w:rPr>
                <w:rFonts w:ascii="Lato" w:hAnsi="Lato"/>
              </w:rPr>
              <w:t>und</w:t>
            </w:r>
            <w:r w:rsidR="005A2624">
              <w:rPr>
                <w:rFonts w:ascii="Lato" w:hAnsi="Lato"/>
              </w:rPr>
              <w:t>s, disclose the maximum level of management</w:t>
            </w:r>
            <w:r w:rsidR="009C3EF1">
              <w:rPr>
                <w:rFonts w:ascii="Lato" w:hAnsi="Lato"/>
              </w:rPr>
              <w:t xml:space="preserve"> fees that may be charged to the Money Market Fund itself and to the other Money Market Funds in which it invests</w:t>
            </w:r>
          </w:p>
        </w:tc>
        <w:tc>
          <w:tcPr>
            <w:tcW w:w="819" w:type="dxa"/>
            <w:gridSpan w:val="2"/>
            <w:tcBorders>
              <w:top w:val="single" w:sz="4" w:space="0" w:color="auto"/>
              <w:left w:val="nil"/>
              <w:bottom w:val="nil"/>
              <w:right w:val="nil"/>
            </w:tcBorders>
          </w:tcPr>
          <w:p w14:paraId="08B17EAA" w14:textId="77777777" w:rsidR="00693B2A" w:rsidRPr="004E6794" w:rsidRDefault="00693B2A" w:rsidP="0097389A">
            <w:pPr>
              <w:spacing w:line="240" w:lineRule="auto"/>
              <w:jc w:val="both"/>
              <w:rPr>
                <w:rFonts w:ascii="Lato" w:hAnsi="Lato"/>
              </w:rPr>
            </w:pPr>
          </w:p>
        </w:tc>
        <w:tc>
          <w:tcPr>
            <w:tcW w:w="356" w:type="dxa"/>
            <w:gridSpan w:val="2"/>
            <w:tcBorders>
              <w:top w:val="nil"/>
              <w:left w:val="nil"/>
              <w:bottom w:val="nil"/>
              <w:right w:val="nil"/>
            </w:tcBorders>
          </w:tcPr>
          <w:p w14:paraId="1C54F6FC" w14:textId="77777777" w:rsidR="00693B2A" w:rsidRPr="004E6794" w:rsidRDefault="00693B2A" w:rsidP="0097389A">
            <w:pPr>
              <w:spacing w:line="240" w:lineRule="auto"/>
              <w:jc w:val="both"/>
              <w:rPr>
                <w:rFonts w:ascii="Lato" w:hAnsi="Lato"/>
              </w:rPr>
            </w:pPr>
          </w:p>
        </w:tc>
        <w:tc>
          <w:tcPr>
            <w:tcW w:w="1361" w:type="dxa"/>
            <w:gridSpan w:val="2"/>
            <w:tcBorders>
              <w:top w:val="single" w:sz="4" w:space="0" w:color="auto"/>
              <w:left w:val="nil"/>
              <w:bottom w:val="nil"/>
              <w:right w:val="nil"/>
            </w:tcBorders>
          </w:tcPr>
          <w:p w14:paraId="0293D002" w14:textId="77777777" w:rsidR="00693B2A" w:rsidRPr="004E6794" w:rsidRDefault="00693B2A" w:rsidP="0097389A">
            <w:pPr>
              <w:spacing w:line="240" w:lineRule="auto"/>
              <w:jc w:val="both"/>
              <w:rPr>
                <w:rFonts w:ascii="Lato" w:hAnsi="Lato"/>
              </w:rPr>
            </w:pPr>
          </w:p>
        </w:tc>
        <w:tc>
          <w:tcPr>
            <w:tcW w:w="433" w:type="dxa"/>
            <w:gridSpan w:val="2"/>
            <w:tcBorders>
              <w:top w:val="nil"/>
              <w:left w:val="nil"/>
              <w:bottom w:val="nil"/>
              <w:right w:val="nil"/>
            </w:tcBorders>
          </w:tcPr>
          <w:p w14:paraId="7B9F8183" w14:textId="77777777" w:rsidR="00693B2A" w:rsidRPr="004E6794" w:rsidRDefault="00693B2A" w:rsidP="0097389A">
            <w:pPr>
              <w:spacing w:line="240" w:lineRule="auto"/>
              <w:jc w:val="both"/>
              <w:rPr>
                <w:rFonts w:ascii="Lato" w:hAnsi="Lato"/>
              </w:rPr>
            </w:pPr>
          </w:p>
        </w:tc>
        <w:tc>
          <w:tcPr>
            <w:tcW w:w="936" w:type="dxa"/>
            <w:gridSpan w:val="3"/>
            <w:tcBorders>
              <w:top w:val="single" w:sz="4" w:space="0" w:color="auto"/>
              <w:left w:val="nil"/>
              <w:bottom w:val="nil"/>
              <w:right w:val="nil"/>
            </w:tcBorders>
          </w:tcPr>
          <w:p w14:paraId="313885EA" w14:textId="77777777" w:rsidR="00693B2A" w:rsidRPr="004E6794" w:rsidRDefault="00693B2A" w:rsidP="0097389A">
            <w:pPr>
              <w:spacing w:line="240" w:lineRule="auto"/>
              <w:jc w:val="both"/>
              <w:rPr>
                <w:rFonts w:ascii="Lato" w:hAnsi="Lato"/>
              </w:rPr>
            </w:pPr>
          </w:p>
        </w:tc>
        <w:tc>
          <w:tcPr>
            <w:tcW w:w="366" w:type="dxa"/>
            <w:tcBorders>
              <w:top w:val="nil"/>
              <w:left w:val="nil"/>
              <w:bottom w:val="nil"/>
              <w:right w:val="nil"/>
            </w:tcBorders>
          </w:tcPr>
          <w:p w14:paraId="60762E35" w14:textId="77777777" w:rsidR="00693B2A" w:rsidRPr="004E6794" w:rsidRDefault="00693B2A" w:rsidP="0097389A">
            <w:pPr>
              <w:spacing w:line="240" w:lineRule="auto"/>
              <w:jc w:val="both"/>
              <w:rPr>
                <w:rFonts w:ascii="Lato" w:hAnsi="Lato"/>
              </w:rPr>
            </w:pPr>
          </w:p>
        </w:tc>
        <w:tc>
          <w:tcPr>
            <w:tcW w:w="631" w:type="dxa"/>
            <w:gridSpan w:val="2"/>
            <w:tcBorders>
              <w:top w:val="nil"/>
              <w:left w:val="nil"/>
              <w:bottom w:val="nil"/>
              <w:right w:val="nil"/>
            </w:tcBorders>
          </w:tcPr>
          <w:p w14:paraId="30D79D0B" w14:textId="77777777" w:rsidR="00693B2A" w:rsidRPr="004E6794" w:rsidRDefault="00693B2A" w:rsidP="0097389A">
            <w:pPr>
              <w:spacing w:line="240" w:lineRule="auto"/>
              <w:jc w:val="both"/>
              <w:rPr>
                <w:rFonts w:ascii="Lato" w:hAnsi="Lato"/>
              </w:rPr>
            </w:pPr>
          </w:p>
        </w:tc>
      </w:tr>
      <w:tr w:rsidR="008709E3" w:rsidRPr="00226335" w14:paraId="1E63669F" w14:textId="77777777" w:rsidTr="00BB6A7F">
        <w:tc>
          <w:tcPr>
            <w:tcW w:w="953" w:type="dxa"/>
            <w:gridSpan w:val="2"/>
            <w:tcBorders>
              <w:top w:val="nil"/>
              <w:left w:val="nil"/>
              <w:bottom w:val="nil"/>
              <w:right w:val="nil"/>
            </w:tcBorders>
          </w:tcPr>
          <w:p w14:paraId="1816D7A3" w14:textId="77777777" w:rsidR="00693B2A" w:rsidRPr="0032593F" w:rsidRDefault="00693B2A" w:rsidP="00693B2A">
            <w:pPr>
              <w:spacing w:line="240" w:lineRule="auto"/>
              <w:jc w:val="both"/>
              <w:rPr>
                <w:rFonts w:ascii="Lato" w:hAnsi="Lato"/>
              </w:rPr>
            </w:pPr>
          </w:p>
        </w:tc>
        <w:tc>
          <w:tcPr>
            <w:tcW w:w="5294" w:type="dxa"/>
            <w:gridSpan w:val="3"/>
            <w:tcBorders>
              <w:top w:val="nil"/>
              <w:left w:val="nil"/>
              <w:bottom w:val="nil"/>
              <w:right w:val="nil"/>
            </w:tcBorders>
          </w:tcPr>
          <w:p w14:paraId="3F5B46DB" w14:textId="5D252470" w:rsidR="00693B2A" w:rsidRPr="007B13FE" w:rsidRDefault="00693B2A">
            <w:pPr>
              <w:spacing w:line="240" w:lineRule="auto"/>
              <w:rPr>
                <w:rFonts w:ascii="Lato" w:hAnsi="Lato"/>
              </w:rPr>
            </w:pPr>
          </w:p>
        </w:tc>
        <w:tc>
          <w:tcPr>
            <w:tcW w:w="819" w:type="dxa"/>
            <w:gridSpan w:val="2"/>
            <w:tcBorders>
              <w:top w:val="nil"/>
              <w:left w:val="nil"/>
              <w:bottom w:val="single" w:sz="4" w:space="0" w:color="auto"/>
              <w:right w:val="nil"/>
            </w:tcBorders>
          </w:tcPr>
          <w:p w14:paraId="2BBA13B4" w14:textId="77777777" w:rsidR="00693B2A" w:rsidRPr="004E6794" w:rsidRDefault="00693B2A" w:rsidP="00693B2A">
            <w:pPr>
              <w:spacing w:line="240" w:lineRule="auto"/>
              <w:jc w:val="both"/>
              <w:rPr>
                <w:rFonts w:ascii="Lato" w:hAnsi="Lato"/>
              </w:rPr>
            </w:pPr>
          </w:p>
        </w:tc>
        <w:tc>
          <w:tcPr>
            <w:tcW w:w="356" w:type="dxa"/>
            <w:gridSpan w:val="2"/>
            <w:tcBorders>
              <w:top w:val="nil"/>
              <w:left w:val="nil"/>
              <w:bottom w:val="nil"/>
              <w:right w:val="nil"/>
            </w:tcBorders>
          </w:tcPr>
          <w:p w14:paraId="1C92B98F" w14:textId="77777777" w:rsidR="00693B2A" w:rsidRPr="004E6794" w:rsidRDefault="00693B2A" w:rsidP="00693B2A">
            <w:pPr>
              <w:spacing w:line="240" w:lineRule="auto"/>
              <w:jc w:val="both"/>
              <w:rPr>
                <w:rFonts w:ascii="Lato" w:hAnsi="Lato"/>
              </w:rPr>
            </w:pPr>
          </w:p>
        </w:tc>
        <w:tc>
          <w:tcPr>
            <w:tcW w:w="1361" w:type="dxa"/>
            <w:gridSpan w:val="2"/>
            <w:tcBorders>
              <w:top w:val="nil"/>
              <w:left w:val="nil"/>
              <w:bottom w:val="single" w:sz="4" w:space="0" w:color="auto"/>
              <w:right w:val="nil"/>
            </w:tcBorders>
          </w:tcPr>
          <w:p w14:paraId="43E55C45" w14:textId="77777777" w:rsidR="00693B2A" w:rsidRPr="004E6794" w:rsidRDefault="00693B2A" w:rsidP="00693B2A">
            <w:pPr>
              <w:spacing w:line="240" w:lineRule="auto"/>
              <w:jc w:val="both"/>
              <w:rPr>
                <w:rFonts w:ascii="Lato" w:hAnsi="Lato"/>
              </w:rPr>
            </w:pPr>
          </w:p>
        </w:tc>
        <w:tc>
          <w:tcPr>
            <w:tcW w:w="433" w:type="dxa"/>
            <w:gridSpan w:val="2"/>
            <w:tcBorders>
              <w:top w:val="nil"/>
              <w:left w:val="nil"/>
              <w:bottom w:val="nil"/>
              <w:right w:val="nil"/>
            </w:tcBorders>
          </w:tcPr>
          <w:p w14:paraId="51119B2E" w14:textId="77777777" w:rsidR="00693B2A" w:rsidRPr="004E6794" w:rsidRDefault="00693B2A" w:rsidP="00693B2A">
            <w:pPr>
              <w:spacing w:line="240" w:lineRule="auto"/>
              <w:jc w:val="both"/>
              <w:rPr>
                <w:rFonts w:ascii="Lato" w:hAnsi="Lato"/>
              </w:rPr>
            </w:pPr>
          </w:p>
        </w:tc>
        <w:tc>
          <w:tcPr>
            <w:tcW w:w="936" w:type="dxa"/>
            <w:gridSpan w:val="3"/>
            <w:tcBorders>
              <w:top w:val="nil"/>
              <w:left w:val="nil"/>
              <w:bottom w:val="single" w:sz="4" w:space="0" w:color="auto"/>
              <w:right w:val="nil"/>
            </w:tcBorders>
          </w:tcPr>
          <w:p w14:paraId="2B7B24EE" w14:textId="77777777" w:rsidR="00693B2A" w:rsidRPr="004E6794" w:rsidRDefault="00693B2A" w:rsidP="00693B2A">
            <w:pPr>
              <w:spacing w:line="240" w:lineRule="auto"/>
              <w:jc w:val="both"/>
              <w:rPr>
                <w:rFonts w:ascii="Lato" w:hAnsi="Lato"/>
              </w:rPr>
            </w:pPr>
          </w:p>
        </w:tc>
        <w:tc>
          <w:tcPr>
            <w:tcW w:w="366" w:type="dxa"/>
            <w:tcBorders>
              <w:top w:val="nil"/>
              <w:left w:val="nil"/>
              <w:bottom w:val="nil"/>
              <w:right w:val="nil"/>
            </w:tcBorders>
          </w:tcPr>
          <w:p w14:paraId="2E44838C" w14:textId="77777777" w:rsidR="00693B2A" w:rsidRPr="004E6794" w:rsidRDefault="00693B2A" w:rsidP="00693B2A">
            <w:pPr>
              <w:spacing w:line="240" w:lineRule="auto"/>
              <w:jc w:val="both"/>
              <w:rPr>
                <w:rFonts w:ascii="Lato" w:hAnsi="Lato"/>
              </w:rPr>
            </w:pPr>
          </w:p>
        </w:tc>
        <w:tc>
          <w:tcPr>
            <w:tcW w:w="631" w:type="dxa"/>
            <w:gridSpan w:val="2"/>
            <w:tcBorders>
              <w:top w:val="nil"/>
              <w:left w:val="nil"/>
              <w:bottom w:val="nil"/>
              <w:right w:val="nil"/>
            </w:tcBorders>
          </w:tcPr>
          <w:p w14:paraId="15775778" w14:textId="77777777" w:rsidR="00693B2A" w:rsidRPr="004E6794" w:rsidRDefault="00693B2A" w:rsidP="00693B2A">
            <w:pPr>
              <w:spacing w:line="240" w:lineRule="auto"/>
              <w:jc w:val="both"/>
              <w:rPr>
                <w:rFonts w:ascii="Lato" w:hAnsi="Lato"/>
              </w:rPr>
            </w:pPr>
          </w:p>
        </w:tc>
      </w:tr>
      <w:tr w:rsidR="008709E3" w:rsidRPr="00226335" w14:paraId="2F38367C" w14:textId="77777777" w:rsidTr="00BB6A7F">
        <w:tc>
          <w:tcPr>
            <w:tcW w:w="953" w:type="dxa"/>
            <w:gridSpan w:val="2"/>
            <w:tcBorders>
              <w:top w:val="nil"/>
              <w:left w:val="nil"/>
              <w:bottom w:val="nil"/>
              <w:right w:val="nil"/>
            </w:tcBorders>
          </w:tcPr>
          <w:p w14:paraId="7F7DA362" w14:textId="1FC84E46" w:rsidR="009C3EF1" w:rsidRPr="00BB6A7F" w:rsidRDefault="008709E3" w:rsidP="009C3EF1">
            <w:pPr>
              <w:spacing w:line="240" w:lineRule="auto"/>
              <w:jc w:val="both"/>
              <w:rPr>
                <w:rFonts w:ascii="Lato" w:hAnsi="Lato"/>
              </w:rPr>
            </w:pPr>
            <w:r w:rsidRPr="00BB6A7F">
              <w:rPr>
                <w:rFonts w:ascii="Lato" w:hAnsi="Lato"/>
              </w:rPr>
              <w:t>2.3</w:t>
            </w:r>
          </w:p>
        </w:tc>
        <w:tc>
          <w:tcPr>
            <w:tcW w:w="5294" w:type="dxa"/>
            <w:gridSpan w:val="3"/>
            <w:tcBorders>
              <w:top w:val="nil"/>
              <w:left w:val="nil"/>
              <w:bottom w:val="nil"/>
              <w:right w:val="single" w:sz="4" w:space="0" w:color="auto"/>
            </w:tcBorders>
          </w:tcPr>
          <w:p w14:paraId="11F1D340" w14:textId="61CAF86C" w:rsidR="009C3EF1" w:rsidRPr="007B13FE" w:rsidRDefault="009C3EF1">
            <w:pPr>
              <w:spacing w:line="240" w:lineRule="auto"/>
              <w:rPr>
                <w:rFonts w:ascii="Lato" w:hAnsi="Lato"/>
              </w:rPr>
            </w:pPr>
            <w:r w:rsidRPr="007B13FE">
              <w:rPr>
                <w:rFonts w:ascii="Lato" w:hAnsi="Lato"/>
              </w:rPr>
              <w:t>Where the M</w:t>
            </w:r>
            <w:r w:rsidR="0040318E">
              <w:rPr>
                <w:rFonts w:ascii="Lato" w:hAnsi="Lato"/>
              </w:rPr>
              <w:t xml:space="preserve">oney </w:t>
            </w:r>
            <w:r w:rsidRPr="007B13FE">
              <w:rPr>
                <w:rFonts w:ascii="Lato" w:hAnsi="Lato"/>
              </w:rPr>
              <w:t>M</w:t>
            </w:r>
            <w:r w:rsidR="0040318E">
              <w:rPr>
                <w:rFonts w:ascii="Lato" w:hAnsi="Lato"/>
              </w:rPr>
              <w:t xml:space="preserve">arket </w:t>
            </w:r>
            <w:r w:rsidRPr="007B13FE">
              <w:rPr>
                <w:rFonts w:ascii="Lato" w:hAnsi="Lato"/>
              </w:rPr>
              <w:t>F</w:t>
            </w:r>
            <w:r w:rsidR="0040318E">
              <w:rPr>
                <w:rFonts w:ascii="Lato" w:hAnsi="Lato"/>
              </w:rPr>
              <w:t>und</w:t>
            </w:r>
            <w:r w:rsidRPr="007B13FE">
              <w:rPr>
                <w:rFonts w:ascii="Lato" w:hAnsi="Lato"/>
              </w:rPr>
              <w:t xml:space="preserve"> has received a </w:t>
            </w:r>
          </w:p>
        </w:tc>
        <w:tc>
          <w:tcPr>
            <w:tcW w:w="819" w:type="dxa"/>
            <w:gridSpan w:val="2"/>
            <w:tcBorders>
              <w:top w:val="single" w:sz="4" w:space="0" w:color="auto"/>
              <w:left w:val="single" w:sz="4" w:space="0" w:color="auto"/>
              <w:bottom w:val="single" w:sz="4" w:space="0" w:color="auto"/>
              <w:right w:val="single" w:sz="4" w:space="0" w:color="auto"/>
            </w:tcBorders>
          </w:tcPr>
          <w:p w14:paraId="0542006A" w14:textId="77777777" w:rsidR="009C3EF1" w:rsidRPr="004E6794" w:rsidRDefault="009C3EF1" w:rsidP="009C3EF1">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5016A4E5" w14:textId="77777777" w:rsidR="009C3EF1" w:rsidRPr="004E6794" w:rsidRDefault="009C3EF1" w:rsidP="009C3EF1">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FC0BC7C" w14:textId="77777777" w:rsidR="009C3EF1" w:rsidRPr="004E6794" w:rsidRDefault="009C3EF1" w:rsidP="009C3EF1">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700BABF9" w14:textId="77777777" w:rsidR="009C3EF1" w:rsidRPr="004E6794" w:rsidRDefault="009C3EF1" w:rsidP="009C3EF1">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0AD161E0" w14:textId="77777777" w:rsidR="009C3EF1" w:rsidRPr="004E6794" w:rsidRDefault="009C3EF1" w:rsidP="009C3EF1">
            <w:pPr>
              <w:spacing w:line="240" w:lineRule="auto"/>
              <w:jc w:val="both"/>
              <w:rPr>
                <w:rFonts w:ascii="Lato" w:hAnsi="Lato"/>
              </w:rPr>
            </w:pPr>
          </w:p>
        </w:tc>
        <w:tc>
          <w:tcPr>
            <w:tcW w:w="366" w:type="dxa"/>
            <w:tcBorders>
              <w:top w:val="nil"/>
              <w:left w:val="single" w:sz="4" w:space="0" w:color="auto"/>
              <w:bottom w:val="nil"/>
              <w:right w:val="nil"/>
            </w:tcBorders>
          </w:tcPr>
          <w:p w14:paraId="1DA48FF1" w14:textId="77777777" w:rsidR="009C3EF1" w:rsidRPr="004E6794" w:rsidRDefault="009C3EF1" w:rsidP="009C3EF1">
            <w:pPr>
              <w:spacing w:line="240" w:lineRule="auto"/>
              <w:jc w:val="both"/>
              <w:rPr>
                <w:rFonts w:ascii="Lato" w:hAnsi="Lato"/>
              </w:rPr>
            </w:pPr>
          </w:p>
        </w:tc>
        <w:tc>
          <w:tcPr>
            <w:tcW w:w="631" w:type="dxa"/>
            <w:gridSpan w:val="2"/>
            <w:tcBorders>
              <w:top w:val="nil"/>
              <w:left w:val="nil"/>
              <w:bottom w:val="nil"/>
              <w:right w:val="nil"/>
            </w:tcBorders>
          </w:tcPr>
          <w:p w14:paraId="4D32C18E" w14:textId="77777777" w:rsidR="009C3EF1" w:rsidRPr="004E6794" w:rsidRDefault="009C3EF1" w:rsidP="009C3EF1">
            <w:pPr>
              <w:spacing w:line="240" w:lineRule="auto"/>
              <w:jc w:val="both"/>
              <w:rPr>
                <w:rFonts w:ascii="Lato" w:hAnsi="Lato"/>
              </w:rPr>
            </w:pPr>
          </w:p>
        </w:tc>
      </w:tr>
      <w:tr w:rsidR="008709E3" w:rsidRPr="00226335" w14:paraId="13BE1471" w14:textId="77777777" w:rsidTr="00BB6A7F">
        <w:tc>
          <w:tcPr>
            <w:tcW w:w="953" w:type="dxa"/>
            <w:gridSpan w:val="2"/>
            <w:tcBorders>
              <w:top w:val="nil"/>
              <w:left w:val="nil"/>
              <w:bottom w:val="nil"/>
              <w:right w:val="nil"/>
            </w:tcBorders>
          </w:tcPr>
          <w:p w14:paraId="2EAD4147" w14:textId="77777777" w:rsidR="009C3EF1" w:rsidRPr="0032593F" w:rsidRDefault="009C3EF1" w:rsidP="009C3EF1">
            <w:pPr>
              <w:spacing w:line="240" w:lineRule="auto"/>
              <w:jc w:val="both"/>
              <w:rPr>
                <w:rFonts w:ascii="Lato" w:hAnsi="Lato"/>
              </w:rPr>
            </w:pPr>
          </w:p>
        </w:tc>
        <w:tc>
          <w:tcPr>
            <w:tcW w:w="5294" w:type="dxa"/>
            <w:gridSpan w:val="3"/>
            <w:tcBorders>
              <w:top w:val="nil"/>
              <w:left w:val="nil"/>
              <w:bottom w:val="nil"/>
              <w:right w:val="nil"/>
            </w:tcBorders>
          </w:tcPr>
          <w:p w14:paraId="2778C7DD" w14:textId="77777777" w:rsidR="009C3EF1" w:rsidRDefault="0040318E">
            <w:pPr>
              <w:spacing w:line="240" w:lineRule="auto"/>
              <w:rPr>
                <w:rFonts w:ascii="Lato" w:hAnsi="Lato"/>
              </w:rPr>
            </w:pPr>
            <w:r w:rsidRPr="0001272B">
              <w:rPr>
                <w:rFonts w:ascii="Lato" w:hAnsi="Lato"/>
              </w:rPr>
              <w:t xml:space="preserve">derogation as per </w:t>
            </w:r>
            <w:r w:rsidR="008D7E35" w:rsidRPr="007B13FE">
              <w:rPr>
                <w:rFonts w:ascii="Lato" w:hAnsi="Lato"/>
              </w:rPr>
              <w:t>Re</w:t>
            </w:r>
            <w:r w:rsidR="003C7CE6">
              <w:rPr>
                <w:rFonts w:ascii="Lato" w:hAnsi="Lato"/>
              </w:rPr>
              <w:t xml:space="preserve">gulation 17(7), </w:t>
            </w:r>
            <w:r w:rsidR="00650BD1" w:rsidRPr="007B13FE">
              <w:rPr>
                <w:rFonts w:ascii="Lato" w:hAnsi="Lato"/>
              </w:rPr>
              <w:t>include a prominent statement drawing attention to the use of the derogation and indicating all administrations, institutions or organisations that issue or guarantee separately or jointly money market instruments in which i</w:t>
            </w:r>
            <w:r w:rsidR="00674756">
              <w:rPr>
                <w:rFonts w:ascii="Lato" w:hAnsi="Lato"/>
              </w:rPr>
              <w:t>t intends to invest more than 5</w:t>
            </w:r>
            <w:r w:rsidR="00650BD1" w:rsidRPr="007B13FE">
              <w:rPr>
                <w:rFonts w:ascii="Lato" w:hAnsi="Lato"/>
              </w:rPr>
              <w:t>% of its assets.</w:t>
            </w:r>
            <w:r w:rsidR="003C7CE6" w:rsidRPr="007B13FE">
              <w:rPr>
                <w:rFonts w:ascii="Lato" w:hAnsi="Lato"/>
              </w:rPr>
              <w:t xml:space="preserve"> </w:t>
            </w:r>
          </w:p>
          <w:p w14:paraId="47AE0A99" w14:textId="4A1BCC48" w:rsidR="00621038" w:rsidRPr="007B13FE" w:rsidRDefault="00621038">
            <w:pPr>
              <w:spacing w:line="240" w:lineRule="auto"/>
              <w:rPr>
                <w:rFonts w:ascii="Lato" w:hAnsi="Lato"/>
              </w:rPr>
            </w:pPr>
          </w:p>
        </w:tc>
        <w:tc>
          <w:tcPr>
            <w:tcW w:w="819" w:type="dxa"/>
            <w:gridSpan w:val="2"/>
            <w:tcBorders>
              <w:top w:val="single" w:sz="4" w:space="0" w:color="auto"/>
              <w:left w:val="nil"/>
              <w:bottom w:val="nil"/>
              <w:right w:val="nil"/>
            </w:tcBorders>
          </w:tcPr>
          <w:p w14:paraId="7AD96632" w14:textId="77777777" w:rsidR="009C3EF1" w:rsidRPr="004E6794" w:rsidRDefault="009C3EF1" w:rsidP="009C3EF1">
            <w:pPr>
              <w:spacing w:line="240" w:lineRule="auto"/>
              <w:jc w:val="both"/>
              <w:rPr>
                <w:rFonts w:ascii="Lato" w:hAnsi="Lato"/>
              </w:rPr>
            </w:pPr>
          </w:p>
        </w:tc>
        <w:tc>
          <w:tcPr>
            <w:tcW w:w="356" w:type="dxa"/>
            <w:gridSpan w:val="2"/>
            <w:tcBorders>
              <w:top w:val="nil"/>
              <w:left w:val="nil"/>
              <w:bottom w:val="nil"/>
              <w:right w:val="nil"/>
            </w:tcBorders>
          </w:tcPr>
          <w:p w14:paraId="01328B79" w14:textId="77777777" w:rsidR="009C3EF1" w:rsidRPr="004E6794" w:rsidRDefault="009C3EF1" w:rsidP="009C3EF1">
            <w:pPr>
              <w:spacing w:line="240" w:lineRule="auto"/>
              <w:jc w:val="both"/>
              <w:rPr>
                <w:rFonts w:ascii="Lato" w:hAnsi="Lato"/>
              </w:rPr>
            </w:pPr>
          </w:p>
        </w:tc>
        <w:tc>
          <w:tcPr>
            <w:tcW w:w="1361" w:type="dxa"/>
            <w:gridSpan w:val="2"/>
            <w:tcBorders>
              <w:top w:val="single" w:sz="4" w:space="0" w:color="auto"/>
              <w:left w:val="nil"/>
              <w:bottom w:val="nil"/>
              <w:right w:val="nil"/>
            </w:tcBorders>
          </w:tcPr>
          <w:p w14:paraId="0B1D4573" w14:textId="77777777" w:rsidR="009C3EF1" w:rsidRPr="004E6794" w:rsidRDefault="009C3EF1" w:rsidP="009C3EF1">
            <w:pPr>
              <w:spacing w:line="240" w:lineRule="auto"/>
              <w:jc w:val="both"/>
              <w:rPr>
                <w:rFonts w:ascii="Lato" w:hAnsi="Lato"/>
              </w:rPr>
            </w:pPr>
          </w:p>
        </w:tc>
        <w:tc>
          <w:tcPr>
            <w:tcW w:w="433" w:type="dxa"/>
            <w:gridSpan w:val="2"/>
            <w:tcBorders>
              <w:top w:val="nil"/>
              <w:left w:val="nil"/>
              <w:bottom w:val="nil"/>
              <w:right w:val="nil"/>
            </w:tcBorders>
          </w:tcPr>
          <w:p w14:paraId="7CFE11DC" w14:textId="77777777" w:rsidR="009C3EF1" w:rsidRPr="004E6794" w:rsidRDefault="009C3EF1" w:rsidP="009C3EF1">
            <w:pPr>
              <w:spacing w:line="240" w:lineRule="auto"/>
              <w:jc w:val="both"/>
              <w:rPr>
                <w:rFonts w:ascii="Lato" w:hAnsi="Lato"/>
              </w:rPr>
            </w:pPr>
          </w:p>
        </w:tc>
        <w:tc>
          <w:tcPr>
            <w:tcW w:w="936" w:type="dxa"/>
            <w:gridSpan w:val="3"/>
            <w:tcBorders>
              <w:top w:val="single" w:sz="4" w:space="0" w:color="auto"/>
              <w:left w:val="nil"/>
              <w:bottom w:val="nil"/>
              <w:right w:val="nil"/>
            </w:tcBorders>
          </w:tcPr>
          <w:p w14:paraId="3A001C65" w14:textId="77777777" w:rsidR="009C3EF1" w:rsidRPr="004E6794" w:rsidRDefault="009C3EF1" w:rsidP="009C3EF1">
            <w:pPr>
              <w:spacing w:line="240" w:lineRule="auto"/>
              <w:jc w:val="both"/>
              <w:rPr>
                <w:rFonts w:ascii="Lato" w:hAnsi="Lato"/>
              </w:rPr>
            </w:pPr>
          </w:p>
        </w:tc>
        <w:tc>
          <w:tcPr>
            <w:tcW w:w="366" w:type="dxa"/>
            <w:tcBorders>
              <w:top w:val="nil"/>
              <w:left w:val="nil"/>
              <w:bottom w:val="nil"/>
              <w:right w:val="nil"/>
            </w:tcBorders>
          </w:tcPr>
          <w:p w14:paraId="314E2D7A" w14:textId="77777777" w:rsidR="009C3EF1" w:rsidRPr="004E6794" w:rsidRDefault="009C3EF1" w:rsidP="009C3EF1">
            <w:pPr>
              <w:spacing w:line="240" w:lineRule="auto"/>
              <w:jc w:val="both"/>
              <w:rPr>
                <w:rFonts w:ascii="Lato" w:hAnsi="Lato"/>
              </w:rPr>
            </w:pPr>
          </w:p>
        </w:tc>
        <w:tc>
          <w:tcPr>
            <w:tcW w:w="631" w:type="dxa"/>
            <w:gridSpan w:val="2"/>
            <w:tcBorders>
              <w:top w:val="nil"/>
              <w:left w:val="nil"/>
              <w:bottom w:val="nil"/>
              <w:right w:val="nil"/>
            </w:tcBorders>
          </w:tcPr>
          <w:p w14:paraId="1F33728B" w14:textId="77777777" w:rsidR="009C3EF1" w:rsidRPr="004E6794" w:rsidRDefault="009C3EF1" w:rsidP="009C3EF1">
            <w:pPr>
              <w:spacing w:line="240" w:lineRule="auto"/>
              <w:jc w:val="both"/>
              <w:rPr>
                <w:rFonts w:ascii="Lato" w:hAnsi="Lato"/>
              </w:rPr>
            </w:pPr>
          </w:p>
        </w:tc>
      </w:tr>
      <w:tr w:rsidR="00621038" w:rsidRPr="00226335" w14:paraId="5315C1F9" w14:textId="77777777" w:rsidTr="00BB6A7F">
        <w:tc>
          <w:tcPr>
            <w:tcW w:w="953" w:type="dxa"/>
            <w:gridSpan w:val="2"/>
            <w:tcBorders>
              <w:top w:val="nil"/>
              <w:left w:val="nil"/>
              <w:bottom w:val="nil"/>
              <w:right w:val="nil"/>
            </w:tcBorders>
          </w:tcPr>
          <w:p w14:paraId="1CAE5C32" w14:textId="77777777" w:rsidR="00621038" w:rsidRDefault="00621038" w:rsidP="009C3EF1">
            <w:pPr>
              <w:spacing w:line="240" w:lineRule="auto"/>
              <w:jc w:val="both"/>
              <w:rPr>
                <w:rFonts w:ascii="Lato" w:hAnsi="Lato"/>
              </w:rPr>
            </w:pPr>
          </w:p>
        </w:tc>
        <w:tc>
          <w:tcPr>
            <w:tcW w:w="5294" w:type="dxa"/>
            <w:gridSpan w:val="3"/>
            <w:tcBorders>
              <w:top w:val="nil"/>
              <w:left w:val="nil"/>
              <w:bottom w:val="nil"/>
              <w:right w:val="nil"/>
            </w:tcBorders>
          </w:tcPr>
          <w:p w14:paraId="6813AB33" w14:textId="38D5E865" w:rsidR="00621038" w:rsidRPr="0001272B" w:rsidRDefault="00621038">
            <w:pPr>
              <w:spacing w:line="240" w:lineRule="auto"/>
              <w:rPr>
                <w:rFonts w:ascii="Lato" w:hAnsi="Lato"/>
              </w:rPr>
            </w:pPr>
            <w:r w:rsidRPr="00AC3ADC">
              <w:rPr>
                <w:rFonts w:ascii="Lato" w:hAnsi="Lato"/>
              </w:rPr>
              <w:t>The issuers may be drawn from the following list:</w:t>
            </w:r>
          </w:p>
        </w:tc>
        <w:tc>
          <w:tcPr>
            <w:tcW w:w="819" w:type="dxa"/>
            <w:gridSpan w:val="2"/>
            <w:tcBorders>
              <w:top w:val="nil"/>
              <w:left w:val="nil"/>
              <w:bottom w:val="nil"/>
              <w:right w:val="nil"/>
            </w:tcBorders>
          </w:tcPr>
          <w:p w14:paraId="559BB6D7" w14:textId="77777777" w:rsidR="00621038" w:rsidRPr="004E6794" w:rsidRDefault="00621038" w:rsidP="009C3EF1">
            <w:pPr>
              <w:spacing w:line="240" w:lineRule="auto"/>
              <w:jc w:val="both"/>
              <w:rPr>
                <w:rFonts w:ascii="Lato" w:hAnsi="Lato"/>
              </w:rPr>
            </w:pPr>
          </w:p>
        </w:tc>
        <w:tc>
          <w:tcPr>
            <w:tcW w:w="356" w:type="dxa"/>
            <w:gridSpan w:val="2"/>
            <w:tcBorders>
              <w:top w:val="nil"/>
              <w:left w:val="nil"/>
              <w:bottom w:val="nil"/>
              <w:right w:val="nil"/>
            </w:tcBorders>
          </w:tcPr>
          <w:p w14:paraId="51C244D9" w14:textId="77777777" w:rsidR="00621038" w:rsidRPr="004E6794" w:rsidRDefault="00621038" w:rsidP="009C3EF1">
            <w:pPr>
              <w:spacing w:line="240" w:lineRule="auto"/>
              <w:jc w:val="both"/>
              <w:rPr>
                <w:rFonts w:ascii="Lato" w:hAnsi="Lato"/>
              </w:rPr>
            </w:pPr>
          </w:p>
        </w:tc>
        <w:tc>
          <w:tcPr>
            <w:tcW w:w="1361" w:type="dxa"/>
            <w:gridSpan w:val="2"/>
            <w:tcBorders>
              <w:top w:val="nil"/>
              <w:left w:val="nil"/>
              <w:bottom w:val="nil"/>
              <w:right w:val="nil"/>
            </w:tcBorders>
          </w:tcPr>
          <w:p w14:paraId="24D82482" w14:textId="77777777" w:rsidR="00621038" w:rsidRPr="004E6794" w:rsidRDefault="00621038" w:rsidP="009C3EF1">
            <w:pPr>
              <w:spacing w:line="240" w:lineRule="auto"/>
              <w:jc w:val="both"/>
              <w:rPr>
                <w:rFonts w:ascii="Lato" w:hAnsi="Lato"/>
              </w:rPr>
            </w:pPr>
          </w:p>
        </w:tc>
        <w:tc>
          <w:tcPr>
            <w:tcW w:w="433" w:type="dxa"/>
            <w:gridSpan w:val="2"/>
            <w:tcBorders>
              <w:top w:val="nil"/>
              <w:left w:val="nil"/>
              <w:bottom w:val="nil"/>
              <w:right w:val="nil"/>
            </w:tcBorders>
          </w:tcPr>
          <w:p w14:paraId="12FD4361" w14:textId="77777777" w:rsidR="00621038" w:rsidRPr="004E6794" w:rsidRDefault="00621038" w:rsidP="009C3EF1">
            <w:pPr>
              <w:spacing w:line="240" w:lineRule="auto"/>
              <w:jc w:val="both"/>
              <w:rPr>
                <w:rFonts w:ascii="Lato" w:hAnsi="Lato"/>
              </w:rPr>
            </w:pPr>
          </w:p>
        </w:tc>
        <w:tc>
          <w:tcPr>
            <w:tcW w:w="936" w:type="dxa"/>
            <w:gridSpan w:val="3"/>
            <w:tcBorders>
              <w:top w:val="nil"/>
              <w:left w:val="nil"/>
              <w:bottom w:val="nil"/>
              <w:right w:val="nil"/>
            </w:tcBorders>
          </w:tcPr>
          <w:p w14:paraId="190EA3E7" w14:textId="77777777" w:rsidR="00621038" w:rsidRPr="004E6794" w:rsidRDefault="00621038" w:rsidP="009C3EF1">
            <w:pPr>
              <w:spacing w:line="240" w:lineRule="auto"/>
              <w:jc w:val="both"/>
              <w:rPr>
                <w:rFonts w:ascii="Lato" w:hAnsi="Lato"/>
              </w:rPr>
            </w:pPr>
          </w:p>
        </w:tc>
        <w:tc>
          <w:tcPr>
            <w:tcW w:w="366" w:type="dxa"/>
            <w:tcBorders>
              <w:top w:val="nil"/>
              <w:left w:val="nil"/>
              <w:bottom w:val="nil"/>
              <w:right w:val="nil"/>
            </w:tcBorders>
          </w:tcPr>
          <w:p w14:paraId="61B28937" w14:textId="77777777" w:rsidR="00621038" w:rsidRPr="004E6794" w:rsidRDefault="00621038" w:rsidP="009C3EF1">
            <w:pPr>
              <w:spacing w:line="240" w:lineRule="auto"/>
              <w:jc w:val="both"/>
              <w:rPr>
                <w:rFonts w:ascii="Lato" w:hAnsi="Lato"/>
              </w:rPr>
            </w:pPr>
          </w:p>
        </w:tc>
        <w:tc>
          <w:tcPr>
            <w:tcW w:w="631" w:type="dxa"/>
            <w:gridSpan w:val="2"/>
            <w:tcBorders>
              <w:top w:val="nil"/>
              <w:left w:val="nil"/>
              <w:bottom w:val="nil"/>
              <w:right w:val="nil"/>
            </w:tcBorders>
          </w:tcPr>
          <w:p w14:paraId="1946FAF1" w14:textId="77777777" w:rsidR="00621038" w:rsidRPr="004E6794" w:rsidRDefault="00621038" w:rsidP="009C3EF1">
            <w:pPr>
              <w:spacing w:line="240" w:lineRule="auto"/>
              <w:jc w:val="both"/>
              <w:rPr>
                <w:rFonts w:ascii="Lato" w:hAnsi="Lato"/>
              </w:rPr>
            </w:pPr>
          </w:p>
        </w:tc>
      </w:tr>
      <w:tr w:rsidR="00BC0730" w:rsidRPr="00226335" w14:paraId="13F8B20E" w14:textId="77777777" w:rsidTr="00BB6A7F">
        <w:tc>
          <w:tcPr>
            <w:tcW w:w="953" w:type="dxa"/>
            <w:gridSpan w:val="2"/>
            <w:tcBorders>
              <w:top w:val="nil"/>
              <w:left w:val="nil"/>
              <w:bottom w:val="nil"/>
              <w:right w:val="nil"/>
            </w:tcBorders>
          </w:tcPr>
          <w:p w14:paraId="4EE0DF14"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23DADBE2" w14:textId="625020EA" w:rsidR="00BC0730" w:rsidRPr="00BC0730" w:rsidRDefault="00BC0730" w:rsidP="00BC0730">
            <w:pPr>
              <w:spacing w:line="240" w:lineRule="auto"/>
              <w:rPr>
                <w:rFonts w:ascii="Lato" w:hAnsi="Lato"/>
              </w:rPr>
            </w:pPr>
            <w:r w:rsidRPr="007B13FE">
              <w:rPr>
                <w:rFonts w:ascii="Lato" w:hAnsi="Lato"/>
              </w:rPr>
              <w:t>The European Union</w:t>
            </w:r>
          </w:p>
        </w:tc>
        <w:tc>
          <w:tcPr>
            <w:tcW w:w="819" w:type="dxa"/>
            <w:gridSpan w:val="2"/>
            <w:tcBorders>
              <w:top w:val="nil"/>
              <w:left w:val="nil"/>
              <w:bottom w:val="nil"/>
              <w:right w:val="nil"/>
            </w:tcBorders>
          </w:tcPr>
          <w:p w14:paraId="1E3229DF"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057D0F68"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29C4AF85"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798E57A1"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64C4C548"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6BD1367E"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542469B9" w14:textId="77777777" w:rsidR="00BC0730" w:rsidRPr="004E6794" w:rsidRDefault="00BC0730" w:rsidP="009C3EF1">
            <w:pPr>
              <w:spacing w:line="240" w:lineRule="auto"/>
              <w:jc w:val="both"/>
              <w:rPr>
                <w:rFonts w:ascii="Lato" w:hAnsi="Lato"/>
              </w:rPr>
            </w:pPr>
          </w:p>
        </w:tc>
      </w:tr>
      <w:tr w:rsidR="00BC0730" w:rsidRPr="00226335" w14:paraId="1B4998AA" w14:textId="77777777" w:rsidTr="00BB6A7F">
        <w:tc>
          <w:tcPr>
            <w:tcW w:w="953" w:type="dxa"/>
            <w:gridSpan w:val="2"/>
            <w:tcBorders>
              <w:top w:val="nil"/>
              <w:left w:val="nil"/>
              <w:bottom w:val="nil"/>
              <w:right w:val="nil"/>
            </w:tcBorders>
          </w:tcPr>
          <w:p w14:paraId="73E9F174"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70E0D6EA" w14:textId="0902FF0D" w:rsidR="00BC0730" w:rsidRPr="00BC0730" w:rsidRDefault="00BC0730" w:rsidP="00BC0730">
            <w:pPr>
              <w:spacing w:line="240" w:lineRule="auto"/>
              <w:rPr>
                <w:rFonts w:ascii="Lato" w:hAnsi="Lato"/>
              </w:rPr>
            </w:pPr>
            <w:r w:rsidRPr="007B13FE">
              <w:rPr>
                <w:rFonts w:ascii="Lato" w:hAnsi="Lato"/>
              </w:rPr>
              <w:t>National, regional and local administrations of the Member States or their central banks</w:t>
            </w:r>
          </w:p>
        </w:tc>
        <w:tc>
          <w:tcPr>
            <w:tcW w:w="819" w:type="dxa"/>
            <w:gridSpan w:val="2"/>
            <w:tcBorders>
              <w:top w:val="nil"/>
              <w:left w:val="nil"/>
              <w:bottom w:val="nil"/>
              <w:right w:val="nil"/>
            </w:tcBorders>
          </w:tcPr>
          <w:p w14:paraId="7CA1BEDF"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6424788E"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6631D00D"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20077537"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5928876F"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02E09FF8"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7E659D1F" w14:textId="77777777" w:rsidR="00BC0730" w:rsidRPr="004E6794" w:rsidRDefault="00BC0730" w:rsidP="009C3EF1">
            <w:pPr>
              <w:spacing w:line="240" w:lineRule="auto"/>
              <w:jc w:val="both"/>
              <w:rPr>
                <w:rFonts w:ascii="Lato" w:hAnsi="Lato"/>
              </w:rPr>
            </w:pPr>
          </w:p>
        </w:tc>
      </w:tr>
      <w:tr w:rsidR="00BC0730" w:rsidRPr="00226335" w14:paraId="14B07CD4" w14:textId="77777777" w:rsidTr="00BB6A7F">
        <w:tc>
          <w:tcPr>
            <w:tcW w:w="953" w:type="dxa"/>
            <w:gridSpan w:val="2"/>
            <w:tcBorders>
              <w:top w:val="nil"/>
              <w:left w:val="nil"/>
              <w:bottom w:val="nil"/>
              <w:right w:val="nil"/>
            </w:tcBorders>
          </w:tcPr>
          <w:p w14:paraId="3887AE3C"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483403AC" w14:textId="0A04BC59" w:rsidR="00BC0730" w:rsidRPr="00BC0730" w:rsidRDefault="00BC0730" w:rsidP="00BC0730">
            <w:pPr>
              <w:spacing w:line="240" w:lineRule="auto"/>
              <w:rPr>
                <w:rFonts w:ascii="Lato" w:hAnsi="Lato"/>
              </w:rPr>
            </w:pPr>
            <w:r w:rsidRPr="007B13FE">
              <w:rPr>
                <w:rFonts w:ascii="Lato" w:hAnsi="Lato"/>
              </w:rPr>
              <w:t>European Central Bank</w:t>
            </w:r>
          </w:p>
        </w:tc>
        <w:tc>
          <w:tcPr>
            <w:tcW w:w="819" w:type="dxa"/>
            <w:gridSpan w:val="2"/>
            <w:tcBorders>
              <w:top w:val="nil"/>
              <w:left w:val="nil"/>
              <w:bottom w:val="nil"/>
              <w:right w:val="nil"/>
            </w:tcBorders>
          </w:tcPr>
          <w:p w14:paraId="0E7DA917"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05CC9566"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148C2CD2"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60A021B2"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7A398659"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0BE3F8A0"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43C5C201" w14:textId="77777777" w:rsidR="00BC0730" w:rsidRPr="004E6794" w:rsidRDefault="00BC0730" w:rsidP="009C3EF1">
            <w:pPr>
              <w:spacing w:line="240" w:lineRule="auto"/>
              <w:jc w:val="both"/>
              <w:rPr>
                <w:rFonts w:ascii="Lato" w:hAnsi="Lato"/>
              </w:rPr>
            </w:pPr>
          </w:p>
        </w:tc>
      </w:tr>
      <w:tr w:rsidR="00BC0730" w:rsidRPr="00226335" w14:paraId="57DDCB55" w14:textId="77777777" w:rsidTr="00BB6A7F">
        <w:tc>
          <w:tcPr>
            <w:tcW w:w="953" w:type="dxa"/>
            <w:gridSpan w:val="2"/>
            <w:tcBorders>
              <w:top w:val="nil"/>
              <w:left w:val="nil"/>
              <w:bottom w:val="nil"/>
              <w:right w:val="nil"/>
            </w:tcBorders>
          </w:tcPr>
          <w:p w14:paraId="454372D1"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47988D5F" w14:textId="13D9B713" w:rsidR="00BC0730" w:rsidRPr="00BC0730" w:rsidRDefault="00BC0730" w:rsidP="00BC0730">
            <w:pPr>
              <w:spacing w:line="240" w:lineRule="auto"/>
              <w:rPr>
                <w:rFonts w:ascii="Lato" w:hAnsi="Lato"/>
              </w:rPr>
            </w:pPr>
            <w:r w:rsidRPr="007B13FE">
              <w:rPr>
                <w:rFonts w:ascii="Lato" w:hAnsi="Lato"/>
              </w:rPr>
              <w:t>European Investment Bank</w:t>
            </w:r>
          </w:p>
        </w:tc>
        <w:tc>
          <w:tcPr>
            <w:tcW w:w="819" w:type="dxa"/>
            <w:gridSpan w:val="2"/>
            <w:tcBorders>
              <w:top w:val="nil"/>
              <w:left w:val="nil"/>
              <w:bottom w:val="nil"/>
              <w:right w:val="nil"/>
            </w:tcBorders>
          </w:tcPr>
          <w:p w14:paraId="4274605C"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05A18404"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205231B8"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0C4A3664"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161545F0"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4928D716"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3ED04B19" w14:textId="77777777" w:rsidR="00BC0730" w:rsidRPr="004E6794" w:rsidRDefault="00BC0730" w:rsidP="009C3EF1">
            <w:pPr>
              <w:spacing w:line="240" w:lineRule="auto"/>
              <w:jc w:val="both"/>
              <w:rPr>
                <w:rFonts w:ascii="Lato" w:hAnsi="Lato"/>
              </w:rPr>
            </w:pPr>
          </w:p>
        </w:tc>
      </w:tr>
      <w:tr w:rsidR="00BC0730" w:rsidRPr="00226335" w14:paraId="6B289388" w14:textId="77777777" w:rsidTr="00BB6A7F">
        <w:tc>
          <w:tcPr>
            <w:tcW w:w="953" w:type="dxa"/>
            <w:gridSpan w:val="2"/>
            <w:tcBorders>
              <w:top w:val="nil"/>
              <w:left w:val="nil"/>
              <w:bottom w:val="nil"/>
              <w:right w:val="nil"/>
            </w:tcBorders>
          </w:tcPr>
          <w:p w14:paraId="1710F4A1"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00856FBA" w14:textId="62C16145" w:rsidR="00BC0730" w:rsidRPr="00BC0730" w:rsidRDefault="00BC0730" w:rsidP="00BC0730">
            <w:pPr>
              <w:spacing w:line="240" w:lineRule="auto"/>
              <w:rPr>
                <w:rFonts w:ascii="Lato" w:hAnsi="Lato"/>
              </w:rPr>
            </w:pPr>
            <w:r w:rsidRPr="007B13FE">
              <w:rPr>
                <w:rFonts w:ascii="Lato" w:hAnsi="Lato"/>
              </w:rPr>
              <w:t>European Investment Fund</w:t>
            </w:r>
          </w:p>
        </w:tc>
        <w:tc>
          <w:tcPr>
            <w:tcW w:w="819" w:type="dxa"/>
            <w:gridSpan w:val="2"/>
            <w:tcBorders>
              <w:top w:val="nil"/>
              <w:left w:val="nil"/>
              <w:bottom w:val="nil"/>
              <w:right w:val="nil"/>
            </w:tcBorders>
          </w:tcPr>
          <w:p w14:paraId="1A1BDEA1"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3A3898D6"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284C20A0"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0B8C51E0"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212DB73F"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71DBC08E"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1676EB2B" w14:textId="77777777" w:rsidR="00BC0730" w:rsidRPr="004E6794" w:rsidRDefault="00BC0730" w:rsidP="009C3EF1">
            <w:pPr>
              <w:spacing w:line="240" w:lineRule="auto"/>
              <w:jc w:val="both"/>
              <w:rPr>
                <w:rFonts w:ascii="Lato" w:hAnsi="Lato"/>
              </w:rPr>
            </w:pPr>
          </w:p>
        </w:tc>
      </w:tr>
      <w:tr w:rsidR="00BC0730" w:rsidRPr="00226335" w14:paraId="231D4D1C" w14:textId="77777777" w:rsidTr="00BB6A7F">
        <w:tc>
          <w:tcPr>
            <w:tcW w:w="953" w:type="dxa"/>
            <w:gridSpan w:val="2"/>
            <w:tcBorders>
              <w:top w:val="nil"/>
              <w:left w:val="nil"/>
              <w:bottom w:val="nil"/>
              <w:right w:val="nil"/>
            </w:tcBorders>
          </w:tcPr>
          <w:p w14:paraId="10A7E441"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13EC526E" w14:textId="28807818" w:rsidR="00BC0730" w:rsidRPr="007B13FE" w:rsidRDefault="00BC0730" w:rsidP="00BC0730">
            <w:pPr>
              <w:spacing w:line="240" w:lineRule="auto"/>
              <w:rPr>
                <w:rFonts w:ascii="Lato" w:hAnsi="Lato"/>
              </w:rPr>
            </w:pPr>
            <w:r w:rsidRPr="007B13FE">
              <w:rPr>
                <w:rFonts w:ascii="Lato" w:hAnsi="Lato"/>
              </w:rPr>
              <w:t>European Stability Mechanism</w:t>
            </w:r>
          </w:p>
        </w:tc>
        <w:tc>
          <w:tcPr>
            <w:tcW w:w="819" w:type="dxa"/>
            <w:gridSpan w:val="2"/>
            <w:tcBorders>
              <w:top w:val="nil"/>
              <w:left w:val="nil"/>
              <w:bottom w:val="nil"/>
              <w:right w:val="nil"/>
            </w:tcBorders>
          </w:tcPr>
          <w:p w14:paraId="6C231502"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18E9DFC5"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5F3A4DB9"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5AC4A525"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45006EB5"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3CA3EFAB"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782E4BC2" w14:textId="77777777" w:rsidR="00BC0730" w:rsidRPr="004E6794" w:rsidRDefault="00BC0730" w:rsidP="009C3EF1">
            <w:pPr>
              <w:spacing w:line="240" w:lineRule="auto"/>
              <w:jc w:val="both"/>
              <w:rPr>
                <w:rFonts w:ascii="Lato" w:hAnsi="Lato"/>
              </w:rPr>
            </w:pPr>
          </w:p>
        </w:tc>
      </w:tr>
      <w:tr w:rsidR="00BC0730" w:rsidRPr="00226335" w14:paraId="2CF5E551" w14:textId="77777777" w:rsidTr="00BB6A7F">
        <w:tc>
          <w:tcPr>
            <w:tcW w:w="953" w:type="dxa"/>
            <w:gridSpan w:val="2"/>
            <w:tcBorders>
              <w:top w:val="nil"/>
              <w:left w:val="nil"/>
              <w:bottom w:val="nil"/>
              <w:right w:val="nil"/>
            </w:tcBorders>
          </w:tcPr>
          <w:p w14:paraId="190D4EFA" w14:textId="77777777" w:rsidR="00BC0730" w:rsidRDefault="00BC0730" w:rsidP="009C3EF1">
            <w:pPr>
              <w:spacing w:line="240" w:lineRule="auto"/>
              <w:jc w:val="both"/>
              <w:rPr>
                <w:rFonts w:ascii="Lato" w:hAnsi="Lato"/>
              </w:rPr>
            </w:pPr>
          </w:p>
        </w:tc>
        <w:tc>
          <w:tcPr>
            <w:tcW w:w="5294" w:type="dxa"/>
            <w:gridSpan w:val="3"/>
            <w:tcBorders>
              <w:top w:val="nil"/>
              <w:left w:val="nil"/>
              <w:bottom w:val="nil"/>
              <w:right w:val="nil"/>
            </w:tcBorders>
          </w:tcPr>
          <w:p w14:paraId="2E9B8A30" w14:textId="3451DE1C" w:rsidR="00BC0730" w:rsidRPr="007B13FE" w:rsidRDefault="00BC0730" w:rsidP="00BC0730">
            <w:pPr>
              <w:spacing w:line="240" w:lineRule="auto"/>
              <w:rPr>
                <w:rFonts w:ascii="Lato" w:hAnsi="Lato"/>
              </w:rPr>
            </w:pPr>
            <w:r w:rsidRPr="007B13FE">
              <w:rPr>
                <w:rFonts w:ascii="Lato" w:hAnsi="Lato"/>
              </w:rPr>
              <w:t>European Financial Stability Facility</w:t>
            </w:r>
          </w:p>
        </w:tc>
        <w:tc>
          <w:tcPr>
            <w:tcW w:w="819" w:type="dxa"/>
            <w:gridSpan w:val="2"/>
            <w:tcBorders>
              <w:top w:val="nil"/>
              <w:left w:val="nil"/>
              <w:bottom w:val="nil"/>
              <w:right w:val="nil"/>
            </w:tcBorders>
          </w:tcPr>
          <w:p w14:paraId="20112436" w14:textId="77777777" w:rsidR="00BC0730" w:rsidRPr="004E6794" w:rsidRDefault="00BC0730" w:rsidP="009C3EF1">
            <w:pPr>
              <w:spacing w:line="240" w:lineRule="auto"/>
              <w:jc w:val="both"/>
              <w:rPr>
                <w:rFonts w:ascii="Lato" w:hAnsi="Lato"/>
              </w:rPr>
            </w:pPr>
          </w:p>
        </w:tc>
        <w:tc>
          <w:tcPr>
            <w:tcW w:w="356" w:type="dxa"/>
            <w:gridSpan w:val="2"/>
            <w:tcBorders>
              <w:top w:val="nil"/>
              <w:left w:val="nil"/>
              <w:bottom w:val="nil"/>
              <w:right w:val="nil"/>
            </w:tcBorders>
          </w:tcPr>
          <w:p w14:paraId="4CA6FE1D" w14:textId="77777777" w:rsidR="00BC0730" w:rsidRPr="004E6794" w:rsidRDefault="00BC0730" w:rsidP="009C3EF1">
            <w:pPr>
              <w:spacing w:line="240" w:lineRule="auto"/>
              <w:jc w:val="both"/>
              <w:rPr>
                <w:rFonts w:ascii="Lato" w:hAnsi="Lato"/>
              </w:rPr>
            </w:pPr>
          </w:p>
        </w:tc>
        <w:tc>
          <w:tcPr>
            <w:tcW w:w="1361" w:type="dxa"/>
            <w:gridSpan w:val="2"/>
            <w:tcBorders>
              <w:top w:val="nil"/>
              <w:left w:val="nil"/>
              <w:bottom w:val="nil"/>
              <w:right w:val="nil"/>
            </w:tcBorders>
          </w:tcPr>
          <w:p w14:paraId="3D6F77DA" w14:textId="77777777" w:rsidR="00BC0730" w:rsidRPr="004E6794" w:rsidRDefault="00BC0730" w:rsidP="009C3EF1">
            <w:pPr>
              <w:spacing w:line="240" w:lineRule="auto"/>
              <w:jc w:val="both"/>
              <w:rPr>
                <w:rFonts w:ascii="Lato" w:hAnsi="Lato"/>
              </w:rPr>
            </w:pPr>
          </w:p>
        </w:tc>
        <w:tc>
          <w:tcPr>
            <w:tcW w:w="433" w:type="dxa"/>
            <w:gridSpan w:val="2"/>
            <w:tcBorders>
              <w:top w:val="nil"/>
              <w:left w:val="nil"/>
              <w:bottom w:val="nil"/>
              <w:right w:val="nil"/>
            </w:tcBorders>
          </w:tcPr>
          <w:p w14:paraId="7855AD73" w14:textId="77777777" w:rsidR="00BC0730" w:rsidRPr="004E6794" w:rsidRDefault="00BC0730" w:rsidP="009C3EF1">
            <w:pPr>
              <w:spacing w:line="240" w:lineRule="auto"/>
              <w:jc w:val="both"/>
              <w:rPr>
                <w:rFonts w:ascii="Lato" w:hAnsi="Lato"/>
              </w:rPr>
            </w:pPr>
          </w:p>
        </w:tc>
        <w:tc>
          <w:tcPr>
            <w:tcW w:w="936" w:type="dxa"/>
            <w:gridSpan w:val="3"/>
            <w:tcBorders>
              <w:top w:val="nil"/>
              <w:left w:val="nil"/>
              <w:bottom w:val="nil"/>
              <w:right w:val="nil"/>
            </w:tcBorders>
          </w:tcPr>
          <w:p w14:paraId="09EC0B05" w14:textId="77777777" w:rsidR="00BC0730" w:rsidRPr="004E6794" w:rsidRDefault="00BC0730" w:rsidP="009C3EF1">
            <w:pPr>
              <w:spacing w:line="240" w:lineRule="auto"/>
              <w:jc w:val="both"/>
              <w:rPr>
                <w:rFonts w:ascii="Lato" w:hAnsi="Lato"/>
              </w:rPr>
            </w:pPr>
          </w:p>
        </w:tc>
        <w:tc>
          <w:tcPr>
            <w:tcW w:w="366" w:type="dxa"/>
            <w:tcBorders>
              <w:top w:val="nil"/>
              <w:left w:val="nil"/>
              <w:bottom w:val="nil"/>
              <w:right w:val="nil"/>
            </w:tcBorders>
          </w:tcPr>
          <w:p w14:paraId="3F6F6435" w14:textId="77777777" w:rsidR="00BC0730" w:rsidRPr="004E6794" w:rsidRDefault="00BC0730" w:rsidP="009C3EF1">
            <w:pPr>
              <w:spacing w:line="240" w:lineRule="auto"/>
              <w:jc w:val="both"/>
              <w:rPr>
                <w:rFonts w:ascii="Lato" w:hAnsi="Lato"/>
              </w:rPr>
            </w:pPr>
          </w:p>
        </w:tc>
        <w:tc>
          <w:tcPr>
            <w:tcW w:w="631" w:type="dxa"/>
            <w:gridSpan w:val="2"/>
            <w:tcBorders>
              <w:top w:val="nil"/>
              <w:left w:val="nil"/>
              <w:bottom w:val="nil"/>
              <w:right w:val="nil"/>
            </w:tcBorders>
          </w:tcPr>
          <w:p w14:paraId="2F64113C" w14:textId="77777777" w:rsidR="00BC0730" w:rsidRPr="004E6794" w:rsidRDefault="00BC0730" w:rsidP="009C3EF1">
            <w:pPr>
              <w:spacing w:line="240" w:lineRule="auto"/>
              <w:jc w:val="both"/>
              <w:rPr>
                <w:rFonts w:ascii="Lato" w:hAnsi="Lato"/>
              </w:rPr>
            </w:pPr>
          </w:p>
        </w:tc>
      </w:tr>
      <w:tr w:rsidR="00BC0730" w:rsidRPr="00226335" w14:paraId="0EB94526" w14:textId="77777777" w:rsidTr="00BB6A7F">
        <w:tc>
          <w:tcPr>
            <w:tcW w:w="953" w:type="dxa"/>
            <w:gridSpan w:val="2"/>
            <w:tcBorders>
              <w:top w:val="nil"/>
              <w:left w:val="nil"/>
              <w:bottom w:val="nil"/>
              <w:right w:val="nil"/>
            </w:tcBorders>
          </w:tcPr>
          <w:p w14:paraId="0C23A4CD"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4E75FCA7" w14:textId="0CFABA36" w:rsidR="00BC0730" w:rsidRPr="007B13FE" w:rsidRDefault="00BC0730" w:rsidP="00BC0730">
            <w:pPr>
              <w:spacing w:line="240" w:lineRule="auto"/>
              <w:rPr>
                <w:rFonts w:ascii="Lato" w:hAnsi="Lato"/>
              </w:rPr>
            </w:pPr>
            <w:r w:rsidRPr="007B13FE">
              <w:rPr>
                <w:rFonts w:ascii="Lato" w:hAnsi="Lato"/>
              </w:rPr>
              <w:t>A central authority or central bank of a third country</w:t>
            </w:r>
          </w:p>
        </w:tc>
        <w:tc>
          <w:tcPr>
            <w:tcW w:w="819" w:type="dxa"/>
            <w:gridSpan w:val="2"/>
            <w:tcBorders>
              <w:top w:val="nil"/>
              <w:left w:val="nil"/>
              <w:bottom w:val="nil"/>
              <w:right w:val="nil"/>
            </w:tcBorders>
          </w:tcPr>
          <w:p w14:paraId="1F6A64A4"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4FA3B67A"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569C4A6C"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44E004D9"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6126DD16"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2AFC702E"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316870B9" w14:textId="77777777" w:rsidR="00BC0730" w:rsidRPr="004E6794" w:rsidRDefault="00BC0730" w:rsidP="00BC0730">
            <w:pPr>
              <w:spacing w:line="240" w:lineRule="auto"/>
              <w:jc w:val="both"/>
              <w:rPr>
                <w:rFonts w:ascii="Lato" w:hAnsi="Lato"/>
              </w:rPr>
            </w:pPr>
          </w:p>
        </w:tc>
      </w:tr>
      <w:tr w:rsidR="00BC0730" w:rsidRPr="00226335" w14:paraId="0B66696C" w14:textId="77777777" w:rsidTr="00BB6A7F">
        <w:tc>
          <w:tcPr>
            <w:tcW w:w="953" w:type="dxa"/>
            <w:gridSpan w:val="2"/>
            <w:tcBorders>
              <w:top w:val="nil"/>
              <w:left w:val="nil"/>
              <w:bottom w:val="nil"/>
              <w:right w:val="nil"/>
            </w:tcBorders>
          </w:tcPr>
          <w:p w14:paraId="31001A90"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6C07E1A6" w14:textId="336F5474" w:rsidR="00BC0730" w:rsidRPr="007B13FE" w:rsidRDefault="00BC0730" w:rsidP="00BC0730">
            <w:pPr>
              <w:spacing w:line="240" w:lineRule="auto"/>
              <w:rPr>
                <w:rFonts w:ascii="Lato" w:hAnsi="Lato"/>
              </w:rPr>
            </w:pPr>
            <w:r w:rsidRPr="007B13FE">
              <w:rPr>
                <w:rFonts w:ascii="Lato" w:hAnsi="Lato"/>
              </w:rPr>
              <w:t>International Monetary Fund</w:t>
            </w:r>
          </w:p>
        </w:tc>
        <w:tc>
          <w:tcPr>
            <w:tcW w:w="819" w:type="dxa"/>
            <w:gridSpan w:val="2"/>
            <w:tcBorders>
              <w:top w:val="nil"/>
              <w:left w:val="nil"/>
              <w:bottom w:val="nil"/>
              <w:right w:val="nil"/>
            </w:tcBorders>
          </w:tcPr>
          <w:p w14:paraId="05688742"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16199C76"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6F941828"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1F6FA6B4"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195AF7B9"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51DE2DC0"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538E0BC5" w14:textId="77777777" w:rsidR="00BC0730" w:rsidRPr="004E6794" w:rsidRDefault="00BC0730" w:rsidP="00BC0730">
            <w:pPr>
              <w:spacing w:line="240" w:lineRule="auto"/>
              <w:jc w:val="both"/>
              <w:rPr>
                <w:rFonts w:ascii="Lato" w:hAnsi="Lato"/>
              </w:rPr>
            </w:pPr>
          </w:p>
        </w:tc>
      </w:tr>
      <w:tr w:rsidR="00BC0730" w:rsidRPr="00226335" w14:paraId="06947EA7" w14:textId="77777777" w:rsidTr="00BB6A7F">
        <w:tc>
          <w:tcPr>
            <w:tcW w:w="953" w:type="dxa"/>
            <w:gridSpan w:val="2"/>
            <w:tcBorders>
              <w:top w:val="nil"/>
              <w:left w:val="nil"/>
              <w:bottom w:val="nil"/>
              <w:right w:val="nil"/>
            </w:tcBorders>
          </w:tcPr>
          <w:p w14:paraId="74CB9140"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40903D2F" w14:textId="6F0592D2" w:rsidR="00BC0730" w:rsidRPr="007B13FE" w:rsidRDefault="00BC0730" w:rsidP="00BC0730">
            <w:pPr>
              <w:spacing w:line="240" w:lineRule="auto"/>
              <w:rPr>
                <w:rFonts w:ascii="Lato" w:hAnsi="Lato"/>
              </w:rPr>
            </w:pPr>
            <w:r w:rsidRPr="007B13FE">
              <w:rPr>
                <w:rFonts w:ascii="Lato" w:hAnsi="Lato"/>
              </w:rPr>
              <w:t>The International Bank for Reconstruction &amp; Development</w:t>
            </w:r>
          </w:p>
        </w:tc>
        <w:tc>
          <w:tcPr>
            <w:tcW w:w="819" w:type="dxa"/>
            <w:gridSpan w:val="2"/>
            <w:tcBorders>
              <w:top w:val="nil"/>
              <w:left w:val="nil"/>
              <w:bottom w:val="nil"/>
              <w:right w:val="nil"/>
            </w:tcBorders>
          </w:tcPr>
          <w:p w14:paraId="78881481"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1787904D"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46B7A221"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0DD3A2C2"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0B17ACFE"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26544ED0"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0B60406E" w14:textId="77777777" w:rsidR="00BC0730" w:rsidRPr="004E6794" w:rsidRDefault="00BC0730" w:rsidP="00BC0730">
            <w:pPr>
              <w:spacing w:line="240" w:lineRule="auto"/>
              <w:jc w:val="both"/>
              <w:rPr>
                <w:rFonts w:ascii="Lato" w:hAnsi="Lato"/>
              </w:rPr>
            </w:pPr>
          </w:p>
        </w:tc>
      </w:tr>
      <w:tr w:rsidR="00BC0730" w:rsidRPr="00226335" w14:paraId="5D15FC76" w14:textId="77777777" w:rsidTr="00BB6A7F">
        <w:tc>
          <w:tcPr>
            <w:tcW w:w="953" w:type="dxa"/>
            <w:gridSpan w:val="2"/>
            <w:tcBorders>
              <w:top w:val="nil"/>
              <w:left w:val="nil"/>
              <w:bottom w:val="nil"/>
              <w:right w:val="nil"/>
            </w:tcBorders>
          </w:tcPr>
          <w:p w14:paraId="4656D546"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0C40C4A3" w14:textId="77E4B872" w:rsidR="00BC0730" w:rsidRPr="00BC0730" w:rsidRDefault="00BC0730" w:rsidP="00BC0730">
            <w:pPr>
              <w:spacing w:line="240" w:lineRule="auto"/>
              <w:rPr>
                <w:rFonts w:ascii="Lato" w:hAnsi="Lato"/>
              </w:rPr>
            </w:pPr>
            <w:r w:rsidRPr="007B13FE">
              <w:rPr>
                <w:rFonts w:ascii="Lato" w:hAnsi="Lato"/>
              </w:rPr>
              <w:t>The Council of Europe Development Bank</w:t>
            </w:r>
          </w:p>
        </w:tc>
        <w:tc>
          <w:tcPr>
            <w:tcW w:w="819" w:type="dxa"/>
            <w:gridSpan w:val="2"/>
            <w:tcBorders>
              <w:top w:val="nil"/>
              <w:left w:val="nil"/>
              <w:bottom w:val="nil"/>
              <w:right w:val="nil"/>
            </w:tcBorders>
          </w:tcPr>
          <w:p w14:paraId="2BC44B67"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248D6C03"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60756E67"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141951EB"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2A685873"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0015F079"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64B70A60" w14:textId="77777777" w:rsidR="00BC0730" w:rsidRPr="004E6794" w:rsidRDefault="00BC0730" w:rsidP="00BC0730">
            <w:pPr>
              <w:spacing w:line="240" w:lineRule="auto"/>
              <w:jc w:val="both"/>
              <w:rPr>
                <w:rFonts w:ascii="Lato" w:hAnsi="Lato"/>
              </w:rPr>
            </w:pPr>
          </w:p>
        </w:tc>
      </w:tr>
      <w:tr w:rsidR="00BC0730" w:rsidRPr="00226335" w14:paraId="01845914" w14:textId="77777777" w:rsidTr="00BB6A7F">
        <w:tc>
          <w:tcPr>
            <w:tcW w:w="953" w:type="dxa"/>
            <w:gridSpan w:val="2"/>
            <w:tcBorders>
              <w:top w:val="nil"/>
              <w:left w:val="nil"/>
              <w:bottom w:val="nil"/>
              <w:right w:val="nil"/>
            </w:tcBorders>
          </w:tcPr>
          <w:p w14:paraId="5023665E"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791AF4CE" w14:textId="222D31D5" w:rsidR="00BC0730" w:rsidRPr="007B13FE" w:rsidRDefault="00BC0730" w:rsidP="00BC0730">
            <w:pPr>
              <w:spacing w:line="240" w:lineRule="auto"/>
              <w:rPr>
                <w:rFonts w:ascii="Lato" w:hAnsi="Lato"/>
              </w:rPr>
            </w:pPr>
            <w:r w:rsidRPr="007B13FE">
              <w:rPr>
                <w:rFonts w:ascii="Lato" w:hAnsi="Lato"/>
              </w:rPr>
              <w:t>The European Bank for Reconstruction &amp; Development</w:t>
            </w:r>
          </w:p>
        </w:tc>
        <w:tc>
          <w:tcPr>
            <w:tcW w:w="819" w:type="dxa"/>
            <w:gridSpan w:val="2"/>
            <w:tcBorders>
              <w:top w:val="nil"/>
              <w:left w:val="nil"/>
              <w:bottom w:val="nil"/>
              <w:right w:val="nil"/>
            </w:tcBorders>
          </w:tcPr>
          <w:p w14:paraId="1A2E8477"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059C8600"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60CD6D63"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43EA626E"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11CEEC48"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4A4B4339"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445EBCF8" w14:textId="77777777" w:rsidR="00BC0730" w:rsidRPr="004E6794" w:rsidRDefault="00BC0730" w:rsidP="00BC0730">
            <w:pPr>
              <w:spacing w:line="240" w:lineRule="auto"/>
              <w:jc w:val="both"/>
              <w:rPr>
                <w:rFonts w:ascii="Lato" w:hAnsi="Lato"/>
              </w:rPr>
            </w:pPr>
          </w:p>
        </w:tc>
      </w:tr>
      <w:tr w:rsidR="00BC0730" w:rsidRPr="00226335" w14:paraId="1C99F088" w14:textId="77777777" w:rsidTr="00BB6A7F">
        <w:tc>
          <w:tcPr>
            <w:tcW w:w="953" w:type="dxa"/>
            <w:gridSpan w:val="2"/>
            <w:tcBorders>
              <w:top w:val="nil"/>
              <w:left w:val="nil"/>
              <w:bottom w:val="nil"/>
              <w:right w:val="nil"/>
            </w:tcBorders>
          </w:tcPr>
          <w:p w14:paraId="0ED014CB" w14:textId="77777777" w:rsidR="00BC0730" w:rsidRDefault="00BC0730" w:rsidP="00BC0730">
            <w:pPr>
              <w:spacing w:line="240" w:lineRule="auto"/>
              <w:jc w:val="both"/>
              <w:rPr>
                <w:rFonts w:ascii="Lato" w:hAnsi="Lato"/>
              </w:rPr>
            </w:pPr>
          </w:p>
        </w:tc>
        <w:tc>
          <w:tcPr>
            <w:tcW w:w="5294" w:type="dxa"/>
            <w:gridSpan w:val="3"/>
            <w:tcBorders>
              <w:top w:val="nil"/>
              <w:left w:val="nil"/>
              <w:bottom w:val="nil"/>
              <w:right w:val="nil"/>
            </w:tcBorders>
          </w:tcPr>
          <w:p w14:paraId="5FBA5CC7" w14:textId="5B11848B" w:rsidR="00BC0730" w:rsidRPr="007B13FE" w:rsidRDefault="00BC0730" w:rsidP="00BC0730">
            <w:pPr>
              <w:spacing w:line="240" w:lineRule="auto"/>
              <w:rPr>
                <w:rFonts w:ascii="Lato" w:hAnsi="Lato"/>
              </w:rPr>
            </w:pPr>
            <w:r w:rsidRPr="007B13FE">
              <w:rPr>
                <w:rFonts w:ascii="Lato" w:hAnsi="Lato"/>
              </w:rPr>
              <w:t>The Bank for International Settlements</w:t>
            </w:r>
          </w:p>
        </w:tc>
        <w:tc>
          <w:tcPr>
            <w:tcW w:w="819" w:type="dxa"/>
            <w:gridSpan w:val="2"/>
            <w:tcBorders>
              <w:top w:val="nil"/>
              <w:left w:val="nil"/>
              <w:bottom w:val="nil"/>
              <w:right w:val="nil"/>
            </w:tcBorders>
          </w:tcPr>
          <w:p w14:paraId="0B861E81" w14:textId="77777777" w:rsidR="00BC0730" w:rsidRPr="004E6794" w:rsidRDefault="00BC0730" w:rsidP="00BC0730">
            <w:pPr>
              <w:spacing w:line="240" w:lineRule="auto"/>
              <w:jc w:val="both"/>
              <w:rPr>
                <w:rFonts w:ascii="Lato" w:hAnsi="Lato"/>
              </w:rPr>
            </w:pPr>
          </w:p>
        </w:tc>
        <w:tc>
          <w:tcPr>
            <w:tcW w:w="356" w:type="dxa"/>
            <w:gridSpan w:val="2"/>
            <w:tcBorders>
              <w:top w:val="nil"/>
              <w:left w:val="nil"/>
              <w:bottom w:val="nil"/>
              <w:right w:val="nil"/>
            </w:tcBorders>
          </w:tcPr>
          <w:p w14:paraId="334CF708" w14:textId="77777777" w:rsidR="00BC0730" w:rsidRPr="004E6794" w:rsidRDefault="00BC0730" w:rsidP="00BC0730">
            <w:pPr>
              <w:spacing w:line="240" w:lineRule="auto"/>
              <w:jc w:val="both"/>
              <w:rPr>
                <w:rFonts w:ascii="Lato" w:hAnsi="Lato"/>
              </w:rPr>
            </w:pPr>
          </w:p>
        </w:tc>
        <w:tc>
          <w:tcPr>
            <w:tcW w:w="1361" w:type="dxa"/>
            <w:gridSpan w:val="2"/>
            <w:tcBorders>
              <w:top w:val="nil"/>
              <w:left w:val="nil"/>
              <w:bottom w:val="nil"/>
              <w:right w:val="nil"/>
            </w:tcBorders>
          </w:tcPr>
          <w:p w14:paraId="2AADC247" w14:textId="77777777" w:rsidR="00BC0730" w:rsidRPr="004E6794" w:rsidRDefault="00BC0730" w:rsidP="00BC0730">
            <w:pPr>
              <w:spacing w:line="240" w:lineRule="auto"/>
              <w:jc w:val="both"/>
              <w:rPr>
                <w:rFonts w:ascii="Lato" w:hAnsi="Lato"/>
              </w:rPr>
            </w:pPr>
          </w:p>
        </w:tc>
        <w:tc>
          <w:tcPr>
            <w:tcW w:w="433" w:type="dxa"/>
            <w:gridSpan w:val="2"/>
            <w:tcBorders>
              <w:top w:val="nil"/>
              <w:left w:val="nil"/>
              <w:bottom w:val="nil"/>
              <w:right w:val="nil"/>
            </w:tcBorders>
          </w:tcPr>
          <w:p w14:paraId="6702E57F" w14:textId="77777777" w:rsidR="00BC0730" w:rsidRPr="004E6794" w:rsidRDefault="00BC0730" w:rsidP="00BC0730">
            <w:pPr>
              <w:spacing w:line="240" w:lineRule="auto"/>
              <w:jc w:val="both"/>
              <w:rPr>
                <w:rFonts w:ascii="Lato" w:hAnsi="Lato"/>
              </w:rPr>
            </w:pPr>
          </w:p>
        </w:tc>
        <w:tc>
          <w:tcPr>
            <w:tcW w:w="936" w:type="dxa"/>
            <w:gridSpan w:val="3"/>
            <w:tcBorders>
              <w:top w:val="nil"/>
              <w:left w:val="nil"/>
              <w:bottom w:val="nil"/>
              <w:right w:val="nil"/>
            </w:tcBorders>
          </w:tcPr>
          <w:p w14:paraId="752B32D1" w14:textId="77777777" w:rsidR="00BC0730" w:rsidRPr="004E6794" w:rsidRDefault="00BC0730" w:rsidP="00BC0730">
            <w:pPr>
              <w:spacing w:line="240" w:lineRule="auto"/>
              <w:jc w:val="both"/>
              <w:rPr>
                <w:rFonts w:ascii="Lato" w:hAnsi="Lato"/>
              </w:rPr>
            </w:pPr>
          </w:p>
        </w:tc>
        <w:tc>
          <w:tcPr>
            <w:tcW w:w="366" w:type="dxa"/>
            <w:tcBorders>
              <w:top w:val="nil"/>
              <w:left w:val="nil"/>
              <w:bottom w:val="nil"/>
              <w:right w:val="nil"/>
            </w:tcBorders>
          </w:tcPr>
          <w:p w14:paraId="15497B88" w14:textId="77777777" w:rsidR="00BC0730" w:rsidRPr="004E6794" w:rsidRDefault="00BC0730" w:rsidP="00BC0730">
            <w:pPr>
              <w:spacing w:line="240" w:lineRule="auto"/>
              <w:jc w:val="both"/>
              <w:rPr>
                <w:rFonts w:ascii="Lato" w:hAnsi="Lato"/>
              </w:rPr>
            </w:pPr>
          </w:p>
        </w:tc>
        <w:tc>
          <w:tcPr>
            <w:tcW w:w="631" w:type="dxa"/>
            <w:gridSpan w:val="2"/>
            <w:tcBorders>
              <w:top w:val="nil"/>
              <w:left w:val="nil"/>
              <w:bottom w:val="nil"/>
              <w:right w:val="nil"/>
            </w:tcBorders>
          </w:tcPr>
          <w:p w14:paraId="3F14D0C5" w14:textId="77777777" w:rsidR="00BC0730" w:rsidRPr="004E6794" w:rsidRDefault="00BC0730" w:rsidP="00BC0730">
            <w:pPr>
              <w:spacing w:line="240" w:lineRule="auto"/>
              <w:jc w:val="both"/>
              <w:rPr>
                <w:rFonts w:ascii="Lato" w:hAnsi="Lato"/>
              </w:rPr>
            </w:pPr>
          </w:p>
        </w:tc>
      </w:tr>
      <w:tr w:rsidR="008709E3" w:rsidRPr="00226335" w14:paraId="4510D5BF" w14:textId="77777777" w:rsidTr="00BB6A7F">
        <w:tc>
          <w:tcPr>
            <w:tcW w:w="953" w:type="dxa"/>
            <w:gridSpan w:val="2"/>
            <w:tcBorders>
              <w:top w:val="nil"/>
              <w:left w:val="nil"/>
              <w:bottom w:val="nil"/>
              <w:right w:val="nil"/>
            </w:tcBorders>
          </w:tcPr>
          <w:p w14:paraId="0DB2AF59" w14:textId="77777777" w:rsidR="000F5CA9"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1AFD92D8" w14:textId="77777777" w:rsidR="000F5CA9" w:rsidRPr="00BC0730" w:rsidRDefault="000F5CA9" w:rsidP="00BC0730">
            <w:pPr>
              <w:spacing w:line="240" w:lineRule="auto"/>
              <w:rPr>
                <w:rFonts w:ascii="Lato" w:hAnsi="Lato"/>
              </w:rPr>
            </w:pPr>
          </w:p>
        </w:tc>
        <w:tc>
          <w:tcPr>
            <w:tcW w:w="819" w:type="dxa"/>
            <w:gridSpan w:val="2"/>
            <w:tcBorders>
              <w:top w:val="nil"/>
              <w:left w:val="nil"/>
              <w:bottom w:val="single" w:sz="4" w:space="0" w:color="auto"/>
              <w:right w:val="nil"/>
            </w:tcBorders>
          </w:tcPr>
          <w:p w14:paraId="0CF73413"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02957AF2" w14:textId="77777777" w:rsidR="000F5CA9" w:rsidRPr="004E6794" w:rsidRDefault="000F5CA9"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3B9A58AD"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2B48B89F" w14:textId="77777777" w:rsidR="000F5CA9" w:rsidRPr="004E6794" w:rsidRDefault="000F5CA9"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1FDF7917"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5B352C37"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21EE110D" w14:textId="77777777" w:rsidR="000F5CA9" w:rsidRPr="004E6794" w:rsidRDefault="000F5CA9" w:rsidP="00BC0730">
            <w:pPr>
              <w:spacing w:line="240" w:lineRule="auto"/>
              <w:jc w:val="both"/>
              <w:rPr>
                <w:rFonts w:ascii="Lato" w:hAnsi="Lato"/>
              </w:rPr>
            </w:pPr>
          </w:p>
        </w:tc>
      </w:tr>
      <w:tr w:rsidR="008709E3" w:rsidRPr="00226335" w14:paraId="59A3EB2F" w14:textId="77777777" w:rsidTr="00BB6A7F">
        <w:tc>
          <w:tcPr>
            <w:tcW w:w="953" w:type="dxa"/>
            <w:gridSpan w:val="2"/>
            <w:tcBorders>
              <w:top w:val="nil"/>
              <w:left w:val="nil"/>
              <w:bottom w:val="nil"/>
              <w:right w:val="nil"/>
            </w:tcBorders>
          </w:tcPr>
          <w:p w14:paraId="1EF0FA70" w14:textId="33DB97E0" w:rsidR="000F5CA9" w:rsidRPr="00BB6A7F" w:rsidRDefault="00E96983" w:rsidP="00BC0730">
            <w:pPr>
              <w:spacing w:line="240" w:lineRule="auto"/>
              <w:jc w:val="both"/>
              <w:rPr>
                <w:rFonts w:ascii="Lato" w:hAnsi="Lato"/>
              </w:rPr>
            </w:pPr>
            <w:r w:rsidRPr="00BB6A7F">
              <w:rPr>
                <w:rFonts w:ascii="Lato" w:hAnsi="Lato"/>
              </w:rPr>
              <w:t>2.4</w:t>
            </w:r>
          </w:p>
        </w:tc>
        <w:tc>
          <w:tcPr>
            <w:tcW w:w="5294" w:type="dxa"/>
            <w:gridSpan w:val="3"/>
            <w:tcBorders>
              <w:top w:val="nil"/>
              <w:left w:val="nil"/>
              <w:bottom w:val="nil"/>
              <w:right w:val="single" w:sz="4" w:space="0" w:color="auto"/>
            </w:tcBorders>
          </w:tcPr>
          <w:p w14:paraId="1DC45330" w14:textId="546AFBB6" w:rsidR="000F5CA9" w:rsidRPr="000F5CA9" w:rsidRDefault="000F5CA9">
            <w:pPr>
              <w:spacing w:line="240" w:lineRule="auto"/>
              <w:rPr>
                <w:rFonts w:ascii="Lato" w:hAnsi="Lato"/>
              </w:rPr>
            </w:pPr>
            <w:r w:rsidRPr="007B13FE">
              <w:rPr>
                <w:rFonts w:ascii="Lato" w:hAnsi="Lato"/>
              </w:rPr>
              <w:t>Where the M</w:t>
            </w:r>
            <w:r w:rsidR="0040318E">
              <w:rPr>
                <w:rFonts w:ascii="Lato" w:hAnsi="Lato"/>
              </w:rPr>
              <w:t xml:space="preserve">oney </w:t>
            </w:r>
            <w:r w:rsidRPr="007B13FE">
              <w:rPr>
                <w:rFonts w:ascii="Lato" w:hAnsi="Lato"/>
              </w:rPr>
              <w:t>M</w:t>
            </w:r>
            <w:r w:rsidR="0040318E">
              <w:rPr>
                <w:rFonts w:ascii="Lato" w:hAnsi="Lato"/>
              </w:rPr>
              <w:t xml:space="preserve">arket </w:t>
            </w:r>
            <w:r w:rsidRPr="007B13FE">
              <w:rPr>
                <w:rFonts w:ascii="Lato" w:hAnsi="Lato"/>
              </w:rPr>
              <w:t>F</w:t>
            </w:r>
            <w:r w:rsidR="0040318E">
              <w:rPr>
                <w:rFonts w:ascii="Lato" w:hAnsi="Lato"/>
              </w:rPr>
              <w:t>und</w:t>
            </w:r>
            <w:r w:rsidRPr="007B13FE">
              <w:rPr>
                <w:rFonts w:ascii="Lato" w:hAnsi="Lato"/>
              </w:rPr>
              <w:t xml:space="preserve"> solicits or finances </w:t>
            </w:r>
          </w:p>
        </w:tc>
        <w:tc>
          <w:tcPr>
            <w:tcW w:w="819" w:type="dxa"/>
            <w:gridSpan w:val="2"/>
            <w:tcBorders>
              <w:top w:val="single" w:sz="4" w:space="0" w:color="auto"/>
              <w:left w:val="single" w:sz="4" w:space="0" w:color="auto"/>
              <w:bottom w:val="single" w:sz="4" w:space="0" w:color="auto"/>
              <w:right w:val="single" w:sz="4" w:space="0" w:color="auto"/>
            </w:tcBorders>
          </w:tcPr>
          <w:p w14:paraId="0FB80A45" w14:textId="77777777" w:rsidR="000F5CA9" w:rsidRPr="004E6794" w:rsidRDefault="000F5CA9"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226EA487"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9AA9002" w14:textId="77777777" w:rsidR="000F5CA9" w:rsidRPr="004E6794" w:rsidRDefault="000F5CA9"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F6362B5"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52CEAC9E" w14:textId="77777777" w:rsidR="000F5CA9" w:rsidRPr="004E6794" w:rsidRDefault="000F5CA9" w:rsidP="00BC0730">
            <w:pPr>
              <w:spacing w:line="240" w:lineRule="auto"/>
              <w:jc w:val="both"/>
              <w:rPr>
                <w:rFonts w:ascii="Lato" w:hAnsi="Lato"/>
              </w:rPr>
            </w:pPr>
          </w:p>
        </w:tc>
        <w:tc>
          <w:tcPr>
            <w:tcW w:w="366" w:type="dxa"/>
            <w:tcBorders>
              <w:top w:val="nil"/>
              <w:left w:val="single" w:sz="4" w:space="0" w:color="auto"/>
              <w:bottom w:val="nil"/>
              <w:right w:val="nil"/>
            </w:tcBorders>
          </w:tcPr>
          <w:p w14:paraId="5DC114C5"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5346AE92" w14:textId="77777777" w:rsidR="000F5CA9" w:rsidRPr="004E6794" w:rsidRDefault="000F5CA9" w:rsidP="00BC0730">
            <w:pPr>
              <w:spacing w:line="240" w:lineRule="auto"/>
              <w:jc w:val="both"/>
              <w:rPr>
                <w:rFonts w:ascii="Lato" w:hAnsi="Lato"/>
              </w:rPr>
            </w:pPr>
          </w:p>
        </w:tc>
      </w:tr>
      <w:tr w:rsidR="008709E3" w:rsidRPr="00226335" w14:paraId="7B2D306F" w14:textId="77777777" w:rsidTr="00BB6A7F">
        <w:tc>
          <w:tcPr>
            <w:tcW w:w="953" w:type="dxa"/>
            <w:gridSpan w:val="2"/>
            <w:tcBorders>
              <w:top w:val="nil"/>
              <w:left w:val="nil"/>
              <w:bottom w:val="nil"/>
              <w:right w:val="nil"/>
            </w:tcBorders>
          </w:tcPr>
          <w:p w14:paraId="70429688" w14:textId="77777777" w:rsidR="000F5CA9"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4595C8E8" w14:textId="60B9BF5E" w:rsidR="000F5CA9" w:rsidRPr="000F5CA9" w:rsidRDefault="00BA0A86" w:rsidP="00BC0730">
            <w:pPr>
              <w:spacing w:line="240" w:lineRule="auto"/>
              <w:rPr>
                <w:rFonts w:ascii="Lato" w:hAnsi="Lato"/>
              </w:rPr>
            </w:pPr>
            <w:r w:rsidRPr="00BB42AD">
              <w:rPr>
                <w:rFonts w:ascii="Lato" w:hAnsi="Lato"/>
              </w:rPr>
              <w:t>an</w:t>
            </w:r>
            <w:r w:rsidRPr="0001272B">
              <w:rPr>
                <w:rFonts w:ascii="Lato" w:hAnsi="Lato"/>
              </w:rPr>
              <w:t xml:space="preserve"> </w:t>
            </w:r>
            <w:r w:rsidR="0040318E" w:rsidRPr="0001272B">
              <w:rPr>
                <w:rFonts w:ascii="Lato" w:hAnsi="Lato"/>
              </w:rPr>
              <w:t>external credit</w:t>
            </w:r>
            <w:r w:rsidR="0040318E" w:rsidRPr="000F5CA9">
              <w:rPr>
                <w:rFonts w:ascii="Lato" w:hAnsi="Lato"/>
              </w:rPr>
              <w:t xml:space="preserve"> </w:t>
            </w:r>
            <w:r w:rsidR="000F5CA9" w:rsidRPr="007B13FE">
              <w:rPr>
                <w:rFonts w:ascii="Lato" w:hAnsi="Lato"/>
              </w:rPr>
              <w:t>rating, disclose that the rating was solicited or financed by the M</w:t>
            </w:r>
            <w:r w:rsidR="001E21A3">
              <w:rPr>
                <w:rFonts w:ascii="Lato" w:hAnsi="Lato"/>
              </w:rPr>
              <w:t xml:space="preserve">oney </w:t>
            </w:r>
            <w:r w:rsidR="000F5CA9" w:rsidRPr="007B13FE">
              <w:rPr>
                <w:rFonts w:ascii="Lato" w:hAnsi="Lato"/>
              </w:rPr>
              <w:t>M</w:t>
            </w:r>
            <w:r w:rsidR="001E21A3">
              <w:rPr>
                <w:rFonts w:ascii="Lato" w:hAnsi="Lato"/>
              </w:rPr>
              <w:t xml:space="preserve">arket </w:t>
            </w:r>
            <w:r w:rsidR="000F5CA9" w:rsidRPr="007B13FE">
              <w:rPr>
                <w:rFonts w:ascii="Lato" w:hAnsi="Lato"/>
              </w:rPr>
              <w:t>F</w:t>
            </w:r>
            <w:r w:rsidR="001E21A3">
              <w:rPr>
                <w:rFonts w:ascii="Lato" w:hAnsi="Lato"/>
              </w:rPr>
              <w:t>und</w:t>
            </w:r>
            <w:r w:rsidR="000F5CA9" w:rsidRPr="007B13FE">
              <w:rPr>
                <w:rFonts w:ascii="Lato" w:hAnsi="Lato"/>
              </w:rPr>
              <w:t xml:space="preserve"> or by the manager of the M</w:t>
            </w:r>
            <w:r w:rsidR="001E21A3">
              <w:rPr>
                <w:rFonts w:ascii="Lato" w:hAnsi="Lato"/>
              </w:rPr>
              <w:t xml:space="preserve">oney </w:t>
            </w:r>
            <w:r w:rsidR="000F5CA9" w:rsidRPr="007B13FE">
              <w:rPr>
                <w:rFonts w:ascii="Lato" w:hAnsi="Lato"/>
              </w:rPr>
              <w:t>M</w:t>
            </w:r>
            <w:r w:rsidR="001E21A3">
              <w:rPr>
                <w:rFonts w:ascii="Lato" w:hAnsi="Lato"/>
              </w:rPr>
              <w:t xml:space="preserve">arket </w:t>
            </w:r>
            <w:r w:rsidR="000F5CA9" w:rsidRPr="007B13FE">
              <w:rPr>
                <w:rFonts w:ascii="Lato" w:hAnsi="Lato"/>
              </w:rPr>
              <w:t>F</w:t>
            </w:r>
            <w:r w:rsidR="001E21A3">
              <w:rPr>
                <w:rFonts w:ascii="Lato" w:hAnsi="Lato"/>
              </w:rPr>
              <w:t>und</w:t>
            </w:r>
          </w:p>
        </w:tc>
        <w:tc>
          <w:tcPr>
            <w:tcW w:w="819" w:type="dxa"/>
            <w:gridSpan w:val="2"/>
            <w:tcBorders>
              <w:top w:val="single" w:sz="4" w:space="0" w:color="auto"/>
              <w:left w:val="nil"/>
              <w:bottom w:val="nil"/>
              <w:right w:val="nil"/>
            </w:tcBorders>
          </w:tcPr>
          <w:p w14:paraId="1E493C88"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7AA3F57C"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7F0D8C35"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45C8B854"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405437B9"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79EA7970"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3341B799" w14:textId="77777777" w:rsidR="000F5CA9" w:rsidRPr="004E6794" w:rsidRDefault="000F5CA9" w:rsidP="00BC0730">
            <w:pPr>
              <w:spacing w:line="240" w:lineRule="auto"/>
              <w:jc w:val="both"/>
              <w:rPr>
                <w:rFonts w:ascii="Lato" w:hAnsi="Lato"/>
              </w:rPr>
            </w:pPr>
          </w:p>
        </w:tc>
      </w:tr>
      <w:tr w:rsidR="008709E3" w:rsidRPr="00226335" w14:paraId="32934EB1" w14:textId="77777777" w:rsidTr="00BB6A7F">
        <w:tc>
          <w:tcPr>
            <w:tcW w:w="953" w:type="dxa"/>
            <w:gridSpan w:val="2"/>
            <w:tcBorders>
              <w:top w:val="nil"/>
              <w:left w:val="nil"/>
              <w:bottom w:val="nil"/>
              <w:right w:val="nil"/>
            </w:tcBorders>
          </w:tcPr>
          <w:p w14:paraId="21A374D2" w14:textId="77777777" w:rsidR="000F5CA9"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16C54FC5" w14:textId="77777777" w:rsidR="000F5CA9" w:rsidRPr="00BC0730" w:rsidRDefault="000F5CA9" w:rsidP="00BC0730">
            <w:pPr>
              <w:spacing w:line="240" w:lineRule="auto"/>
              <w:rPr>
                <w:rFonts w:ascii="Lato" w:hAnsi="Lato"/>
              </w:rPr>
            </w:pPr>
          </w:p>
        </w:tc>
        <w:tc>
          <w:tcPr>
            <w:tcW w:w="819" w:type="dxa"/>
            <w:gridSpan w:val="2"/>
            <w:tcBorders>
              <w:top w:val="nil"/>
              <w:left w:val="nil"/>
              <w:bottom w:val="nil"/>
              <w:right w:val="nil"/>
            </w:tcBorders>
          </w:tcPr>
          <w:p w14:paraId="2A91E3E0"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39DFE1C4" w14:textId="77777777" w:rsidR="000F5CA9" w:rsidRPr="004E6794" w:rsidRDefault="000F5CA9" w:rsidP="00BC0730">
            <w:pPr>
              <w:spacing w:line="240" w:lineRule="auto"/>
              <w:jc w:val="both"/>
              <w:rPr>
                <w:rFonts w:ascii="Lato" w:hAnsi="Lato"/>
              </w:rPr>
            </w:pPr>
          </w:p>
        </w:tc>
        <w:tc>
          <w:tcPr>
            <w:tcW w:w="1361" w:type="dxa"/>
            <w:gridSpan w:val="2"/>
            <w:tcBorders>
              <w:top w:val="nil"/>
              <w:left w:val="nil"/>
              <w:bottom w:val="nil"/>
              <w:right w:val="nil"/>
            </w:tcBorders>
          </w:tcPr>
          <w:p w14:paraId="5CE4EA6D"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550249B6" w14:textId="77777777" w:rsidR="000F5CA9" w:rsidRPr="004E6794" w:rsidRDefault="000F5CA9" w:rsidP="00BC0730">
            <w:pPr>
              <w:spacing w:line="240" w:lineRule="auto"/>
              <w:jc w:val="both"/>
              <w:rPr>
                <w:rFonts w:ascii="Lato" w:hAnsi="Lato"/>
              </w:rPr>
            </w:pPr>
          </w:p>
        </w:tc>
        <w:tc>
          <w:tcPr>
            <w:tcW w:w="936" w:type="dxa"/>
            <w:gridSpan w:val="3"/>
            <w:tcBorders>
              <w:top w:val="nil"/>
              <w:left w:val="nil"/>
              <w:bottom w:val="nil"/>
              <w:right w:val="nil"/>
            </w:tcBorders>
          </w:tcPr>
          <w:p w14:paraId="53D2BD75"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56BB1263"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61BD347B" w14:textId="77777777" w:rsidR="000F5CA9" w:rsidRPr="004E6794" w:rsidRDefault="000F5CA9" w:rsidP="00BC0730">
            <w:pPr>
              <w:spacing w:line="240" w:lineRule="auto"/>
              <w:jc w:val="both"/>
              <w:rPr>
                <w:rFonts w:ascii="Lato" w:hAnsi="Lato"/>
              </w:rPr>
            </w:pPr>
          </w:p>
        </w:tc>
      </w:tr>
      <w:tr w:rsidR="00621038" w:rsidRPr="00226335" w14:paraId="517CD7CA" w14:textId="77777777" w:rsidTr="00BB6A7F">
        <w:tc>
          <w:tcPr>
            <w:tcW w:w="953" w:type="dxa"/>
            <w:gridSpan w:val="2"/>
            <w:tcBorders>
              <w:top w:val="nil"/>
              <w:left w:val="nil"/>
              <w:bottom w:val="nil"/>
              <w:right w:val="nil"/>
            </w:tcBorders>
          </w:tcPr>
          <w:p w14:paraId="03CDB3AA" w14:textId="77777777" w:rsidR="00621038" w:rsidRDefault="00621038" w:rsidP="00BC0730">
            <w:pPr>
              <w:spacing w:line="240" w:lineRule="auto"/>
              <w:jc w:val="both"/>
              <w:rPr>
                <w:rFonts w:ascii="Lato" w:hAnsi="Lato"/>
              </w:rPr>
            </w:pPr>
          </w:p>
        </w:tc>
        <w:tc>
          <w:tcPr>
            <w:tcW w:w="5294" w:type="dxa"/>
            <w:gridSpan w:val="3"/>
            <w:tcBorders>
              <w:top w:val="nil"/>
              <w:left w:val="nil"/>
              <w:bottom w:val="nil"/>
              <w:right w:val="nil"/>
            </w:tcBorders>
          </w:tcPr>
          <w:p w14:paraId="057240FA" w14:textId="77777777" w:rsidR="00621038" w:rsidRPr="00BC0730" w:rsidRDefault="00621038" w:rsidP="00BC0730">
            <w:pPr>
              <w:spacing w:line="240" w:lineRule="auto"/>
              <w:rPr>
                <w:rFonts w:ascii="Lato" w:hAnsi="Lato"/>
              </w:rPr>
            </w:pPr>
          </w:p>
        </w:tc>
        <w:tc>
          <w:tcPr>
            <w:tcW w:w="819" w:type="dxa"/>
            <w:gridSpan w:val="2"/>
            <w:tcBorders>
              <w:top w:val="nil"/>
              <w:left w:val="nil"/>
              <w:bottom w:val="nil"/>
              <w:right w:val="nil"/>
            </w:tcBorders>
          </w:tcPr>
          <w:p w14:paraId="0B335D7D" w14:textId="77777777" w:rsidR="00621038" w:rsidRPr="004E6794" w:rsidRDefault="00621038" w:rsidP="00BC0730">
            <w:pPr>
              <w:spacing w:line="240" w:lineRule="auto"/>
              <w:jc w:val="both"/>
              <w:rPr>
                <w:rFonts w:ascii="Lato" w:hAnsi="Lato"/>
              </w:rPr>
            </w:pPr>
          </w:p>
        </w:tc>
        <w:tc>
          <w:tcPr>
            <w:tcW w:w="356" w:type="dxa"/>
            <w:gridSpan w:val="2"/>
            <w:tcBorders>
              <w:top w:val="nil"/>
              <w:left w:val="nil"/>
              <w:bottom w:val="nil"/>
              <w:right w:val="nil"/>
            </w:tcBorders>
          </w:tcPr>
          <w:p w14:paraId="4C962D65" w14:textId="77777777" w:rsidR="00621038" w:rsidRPr="004E6794" w:rsidRDefault="00621038" w:rsidP="00BC0730">
            <w:pPr>
              <w:spacing w:line="240" w:lineRule="auto"/>
              <w:jc w:val="both"/>
              <w:rPr>
                <w:rFonts w:ascii="Lato" w:hAnsi="Lato"/>
              </w:rPr>
            </w:pPr>
          </w:p>
        </w:tc>
        <w:tc>
          <w:tcPr>
            <w:tcW w:w="1361" w:type="dxa"/>
            <w:gridSpan w:val="2"/>
            <w:tcBorders>
              <w:top w:val="nil"/>
              <w:left w:val="nil"/>
              <w:bottom w:val="nil"/>
              <w:right w:val="nil"/>
            </w:tcBorders>
          </w:tcPr>
          <w:p w14:paraId="3858633E" w14:textId="77777777" w:rsidR="00621038" w:rsidRPr="004E6794" w:rsidRDefault="00621038" w:rsidP="00BC0730">
            <w:pPr>
              <w:spacing w:line="240" w:lineRule="auto"/>
              <w:jc w:val="both"/>
              <w:rPr>
                <w:rFonts w:ascii="Lato" w:hAnsi="Lato"/>
              </w:rPr>
            </w:pPr>
          </w:p>
        </w:tc>
        <w:tc>
          <w:tcPr>
            <w:tcW w:w="433" w:type="dxa"/>
            <w:gridSpan w:val="2"/>
            <w:tcBorders>
              <w:top w:val="nil"/>
              <w:left w:val="nil"/>
              <w:bottom w:val="nil"/>
              <w:right w:val="nil"/>
            </w:tcBorders>
          </w:tcPr>
          <w:p w14:paraId="31E41C6A" w14:textId="77777777" w:rsidR="00621038" w:rsidRPr="004E6794" w:rsidRDefault="00621038" w:rsidP="00BC0730">
            <w:pPr>
              <w:spacing w:line="240" w:lineRule="auto"/>
              <w:jc w:val="both"/>
              <w:rPr>
                <w:rFonts w:ascii="Lato" w:hAnsi="Lato"/>
              </w:rPr>
            </w:pPr>
          </w:p>
        </w:tc>
        <w:tc>
          <w:tcPr>
            <w:tcW w:w="936" w:type="dxa"/>
            <w:gridSpan w:val="3"/>
            <w:tcBorders>
              <w:top w:val="nil"/>
              <w:left w:val="nil"/>
              <w:bottom w:val="nil"/>
              <w:right w:val="nil"/>
            </w:tcBorders>
          </w:tcPr>
          <w:p w14:paraId="1722CEA6" w14:textId="77777777" w:rsidR="00621038" w:rsidRPr="004E6794" w:rsidRDefault="00621038" w:rsidP="00BC0730">
            <w:pPr>
              <w:spacing w:line="240" w:lineRule="auto"/>
              <w:jc w:val="both"/>
              <w:rPr>
                <w:rFonts w:ascii="Lato" w:hAnsi="Lato"/>
              </w:rPr>
            </w:pPr>
          </w:p>
        </w:tc>
        <w:tc>
          <w:tcPr>
            <w:tcW w:w="366" w:type="dxa"/>
            <w:tcBorders>
              <w:top w:val="nil"/>
              <w:left w:val="nil"/>
              <w:bottom w:val="nil"/>
              <w:right w:val="nil"/>
            </w:tcBorders>
          </w:tcPr>
          <w:p w14:paraId="2D5E7C5D" w14:textId="77777777" w:rsidR="00621038" w:rsidRPr="004E6794" w:rsidRDefault="00621038" w:rsidP="00BC0730">
            <w:pPr>
              <w:spacing w:line="240" w:lineRule="auto"/>
              <w:jc w:val="both"/>
              <w:rPr>
                <w:rFonts w:ascii="Lato" w:hAnsi="Lato"/>
              </w:rPr>
            </w:pPr>
          </w:p>
        </w:tc>
        <w:tc>
          <w:tcPr>
            <w:tcW w:w="631" w:type="dxa"/>
            <w:gridSpan w:val="2"/>
            <w:tcBorders>
              <w:top w:val="nil"/>
              <w:left w:val="nil"/>
              <w:bottom w:val="nil"/>
              <w:right w:val="nil"/>
            </w:tcBorders>
          </w:tcPr>
          <w:p w14:paraId="1CD5CF42" w14:textId="77777777" w:rsidR="00621038" w:rsidRPr="004E6794" w:rsidRDefault="00621038" w:rsidP="00BC0730">
            <w:pPr>
              <w:spacing w:line="240" w:lineRule="auto"/>
              <w:jc w:val="both"/>
              <w:rPr>
                <w:rFonts w:ascii="Lato" w:hAnsi="Lato"/>
              </w:rPr>
            </w:pPr>
          </w:p>
        </w:tc>
      </w:tr>
      <w:tr w:rsidR="00621038" w:rsidRPr="00226335" w14:paraId="2735A605" w14:textId="77777777" w:rsidTr="00BB6A7F">
        <w:tc>
          <w:tcPr>
            <w:tcW w:w="953" w:type="dxa"/>
            <w:gridSpan w:val="2"/>
            <w:tcBorders>
              <w:top w:val="nil"/>
              <w:left w:val="nil"/>
              <w:bottom w:val="nil"/>
              <w:right w:val="nil"/>
            </w:tcBorders>
          </w:tcPr>
          <w:p w14:paraId="57F657B5" w14:textId="77777777" w:rsidR="00621038" w:rsidRDefault="00621038" w:rsidP="00BC0730">
            <w:pPr>
              <w:spacing w:line="240" w:lineRule="auto"/>
              <w:jc w:val="both"/>
              <w:rPr>
                <w:rFonts w:ascii="Lato" w:hAnsi="Lato"/>
              </w:rPr>
            </w:pPr>
          </w:p>
        </w:tc>
        <w:tc>
          <w:tcPr>
            <w:tcW w:w="5294" w:type="dxa"/>
            <w:gridSpan w:val="3"/>
            <w:tcBorders>
              <w:top w:val="nil"/>
              <w:left w:val="nil"/>
              <w:bottom w:val="nil"/>
              <w:right w:val="nil"/>
            </w:tcBorders>
          </w:tcPr>
          <w:p w14:paraId="208FA59B" w14:textId="77777777" w:rsidR="00621038" w:rsidRPr="00BC0730" w:rsidRDefault="00621038" w:rsidP="00BC0730">
            <w:pPr>
              <w:spacing w:line="240" w:lineRule="auto"/>
              <w:rPr>
                <w:rFonts w:ascii="Lato" w:hAnsi="Lato"/>
              </w:rPr>
            </w:pPr>
          </w:p>
        </w:tc>
        <w:tc>
          <w:tcPr>
            <w:tcW w:w="819" w:type="dxa"/>
            <w:gridSpan w:val="2"/>
            <w:tcBorders>
              <w:top w:val="nil"/>
              <w:left w:val="nil"/>
              <w:bottom w:val="single" w:sz="4" w:space="0" w:color="auto"/>
              <w:right w:val="nil"/>
            </w:tcBorders>
          </w:tcPr>
          <w:p w14:paraId="41D0DF89" w14:textId="77777777" w:rsidR="00621038" w:rsidRPr="004E6794" w:rsidRDefault="00621038" w:rsidP="00BC0730">
            <w:pPr>
              <w:spacing w:line="240" w:lineRule="auto"/>
              <w:jc w:val="both"/>
              <w:rPr>
                <w:rFonts w:ascii="Lato" w:hAnsi="Lato"/>
              </w:rPr>
            </w:pPr>
          </w:p>
        </w:tc>
        <w:tc>
          <w:tcPr>
            <w:tcW w:w="356" w:type="dxa"/>
            <w:gridSpan w:val="2"/>
            <w:tcBorders>
              <w:top w:val="nil"/>
              <w:left w:val="nil"/>
              <w:bottom w:val="nil"/>
              <w:right w:val="nil"/>
            </w:tcBorders>
          </w:tcPr>
          <w:p w14:paraId="051C5567" w14:textId="77777777" w:rsidR="00621038" w:rsidRPr="004E6794" w:rsidRDefault="00621038"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2B050099" w14:textId="77777777" w:rsidR="00621038" w:rsidRPr="004E6794" w:rsidRDefault="00621038" w:rsidP="00BC0730">
            <w:pPr>
              <w:spacing w:line="240" w:lineRule="auto"/>
              <w:jc w:val="both"/>
              <w:rPr>
                <w:rFonts w:ascii="Lato" w:hAnsi="Lato"/>
              </w:rPr>
            </w:pPr>
          </w:p>
        </w:tc>
        <w:tc>
          <w:tcPr>
            <w:tcW w:w="433" w:type="dxa"/>
            <w:gridSpan w:val="2"/>
            <w:tcBorders>
              <w:top w:val="nil"/>
              <w:left w:val="nil"/>
              <w:bottom w:val="nil"/>
              <w:right w:val="nil"/>
            </w:tcBorders>
          </w:tcPr>
          <w:p w14:paraId="79F4BF8D" w14:textId="77777777" w:rsidR="00621038" w:rsidRPr="004E6794" w:rsidRDefault="00621038"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3D65797C" w14:textId="77777777" w:rsidR="00621038" w:rsidRPr="004E6794" w:rsidRDefault="00621038" w:rsidP="00BC0730">
            <w:pPr>
              <w:spacing w:line="240" w:lineRule="auto"/>
              <w:jc w:val="both"/>
              <w:rPr>
                <w:rFonts w:ascii="Lato" w:hAnsi="Lato"/>
              </w:rPr>
            </w:pPr>
          </w:p>
        </w:tc>
        <w:tc>
          <w:tcPr>
            <w:tcW w:w="366" w:type="dxa"/>
            <w:tcBorders>
              <w:top w:val="nil"/>
              <w:left w:val="nil"/>
              <w:bottom w:val="nil"/>
              <w:right w:val="nil"/>
            </w:tcBorders>
          </w:tcPr>
          <w:p w14:paraId="78F26E39" w14:textId="77777777" w:rsidR="00621038" w:rsidRPr="004E6794" w:rsidRDefault="00621038" w:rsidP="00BC0730">
            <w:pPr>
              <w:spacing w:line="240" w:lineRule="auto"/>
              <w:jc w:val="both"/>
              <w:rPr>
                <w:rFonts w:ascii="Lato" w:hAnsi="Lato"/>
              </w:rPr>
            </w:pPr>
          </w:p>
        </w:tc>
        <w:tc>
          <w:tcPr>
            <w:tcW w:w="631" w:type="dxa"/>
            <w:gridSpan w:val="2"/>
            <w:tcBorders>
              <w:top w:val="nil"/>
              <w:left w:val="nil"/>
              <w:bottom w:val="nil"/>
              <w:right w:val="nil"/>
            </w:tcBorders>
          </w:tcPr>
          <w:p w14:paraId="077B7B4B" w14:textId="77777777" w:rsidR="00621038" w:rsidRPr="004E6794" w:rsidRDefault="00621038" w:rsidP="00BC0730">
            <w:pPr>
              <w:spacing w:line="240" w:lineRule="auto"/>
              <w:jc w:val="both"/>
              <w:rPr>
                <w:rFonts w:ascii="Lato" w:hAnsi="Lato"/>
              </w:rPr>
            </w:pPr>
          </w:p>
        </w:tc>
      </w:tr>
      <w:tr w:rsidR="008709E3" w:rsidRPr="00226335" w14:paraId="1ACF66D5" w14:textId="77777777" w:rsidTr="00BB6A7F">
        <w:tc>
          <w:tcPr>
            <w:tcW w:w="953" w:type="dxa"/>
            <w:gridSpan w:val="2"/>
            <w:tcBorders>
              <w:top w:val="nil"/>
              <w:left w:val="nil"/>
              <w:bottom w:val="nil"/>
              <w:right w:val="nil"/>
            </w:tcBorders>
          </w:tcPr>
          <w:p w14:paraId="4EC7A5AE" w14:textId="568D7F40" w:rsidR="000F5CA9" w:rsidRPr="00BB6A7F" w:rsidRDefault="00E96983" w:rsidP="00BC0730">
            <w:pPr>
              <w:spacing w:line="240" w:lineRule="auto"/>
              <w:jc w:val="both"/>
              <w:rPr>
                <w:rFonts w:ascii="Lato" w:hAnsi="Lato"/>
              </w:rPr>
            </w:pPr>
            <w:r w:rsidRPr="00BB6A7F">
              <w:rPr>
                <w:rFonts w:ascii="Lato" w:hAnsi="Lato"/>
              </w:rPr>
              <w:lastRenderedPageBreak/>
              <w:t>2.5</w:t>
            </w:r>
          </w:p>
        </w:tc>
        <w:tc>
          <w:tcPr>
            <w:tcW w:w="5294" w:type="dxa"/>
            <w:gridSpan w:val="3"/>
            <w:tcBorders>
              <w:top w:val="nil"/>
              <w:left w:val="nil"/>
              <w:bottom w:val="nil"/>
              <w:right w:val="single" w:sz="4" w:space="0" w:color="auto"/>
            </w:tcBorders>
          </w:tcPr>
          <w:p w14:paraId="5C2BE3E5" w14:textId="19B83BBC" w:rsidR="000F5CA9" w:rsidRPr="00BC0730" w:rsidRDefault="0040318E">
            <w:pPr>
              <w:spacing w:line="240" w:lineRule="auto"/>
              <w:rPr>
                <w:rFonts w:ascii="Lato" w:hAnsi="Lato"/>
              </w:rPr>
            </w:pPr>
            <w:r>
              <w:rPr>
                <w:rFonts w:ascii="Lato" w:hAnsi="Lato"/>
              </w:rPr>
              <w:t xml:space="preserve">Provide a clear description of the valuation method </w:t>
            </w:r>
          </w:p>
        </w:tc>
        <w:tc>
          <w:tcPr>
            <w:tcW w:w="819" w:type="dxa"/>
            <w:gridSpan w:val="2"/>
            <w:tcBorders>
              <w:top w:val="single" w:sz="4" w:space="0" w:color="auto"/>
              <w:left w:val="single" w:sz="4" w:space="0" w:color="auto"/>
              <w:bottom w:val="single" w:sz="4" w:space="0" w:color="auto"/>
              <w:right w:val="single" w:sz="4" w:space="0" w:color="auto"/>
            </w:tcBorders>
          </w:tcPr>
          <w:p w14:paraId="1AD2A04F" w14:textId="77777777" w:rsidR="000F5CA9" w:rsidRPr="004E6794" w:rsidRDefault="000F5CA9"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D5CC18E"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A7A29AC" w14:textId="77777777" w:rsidR="000F5CA9" w:rsidRPr="004E6794" w:rsidRDefault="000F5CA9"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B9D7119"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320875BE" w14:textId="77777777" w:rsidR="000F5CA9" w:rsidRPr="004E6794" w:rsidRDefault="000F5CA9" w:rsidP="00BC0730">
            <w:pPr>
              <w:spacing w:line="240" w:lineRule="auto"/>
              <w:jc w:val="both"/>
              <w:rPr>
                <w:rFonts w:ascii="Lato" w:hAnsi="Lato"/>
              </w:rPr>
            </w:pPr>
          </w:p>
        </w:tc>
        <w:tc>
          <w:tcPr>
            <w:tcW w:w="366" w:type="dxa"/>
            <w:tcBorders>
              <w:top w:val="nil"/>
              <w:left w:val="single" w:sz="4" w:space="0" w:color="auto"/>
              <w:bottom w:val="nil"/>
              <w:right w:val="nil"/>
            </w:tcBorders>
          </w:tcPr>
          <w:p w14:paraId="0999D391"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6D561779" w14:textId="77777777" w:rsidR="000F5CA9" w:rsidRPr="004E6794" w:rsidRDefault="000F5CA9" w:rsidP="00BC0730">
            <w:pPr>
              <w:spacing w:line="240" w:lineRule="auto"/>
              <w:jc w:val="both"/>
              <w:rPr>
                <w:rFonts w:ascii="Lato" w:hAnsi="Lato"/>
              </w:rPr>
            </w:pPr>
          </w:p>
        </w:tc>
      </w:tr>
      <w:tr w:rsidR="008709E3" w:rsidRPr="00226335" w14:paraId="4D3E695E" w14:textId="77777777" w:rsidTr="00BB6A7F">
        <w:tc>
          <w:tcPr>
            <w:tcW w:w="953" w:type="dxa"/>
            <w:gridSpan w:val="2"/>
            <w:tcBorders>
              <w:top w:val="nil"/>
              <w:left w:val="nil"/>
              <w:bottom w:val="nil"/>
              <w:right w:val="nil"/>
            </w:tcBorders>
          </w:tcPr>
          <w:p w14:paraId="2C082C94" w14:textId="77777777" w:rsidR="000F5CA9" w:rsidRPr="0032593F"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50A2FA9D" w14:textId="241A558A" w:rsidR="000F5CA9" w:rsidRPr="00BC0730" w:rsidRDefault="00BA0A86" w:rsidP="00BC0730">
            <w:pPr>
              <w:spacing w:line="240" w:lineRule="auto"/>
              <w:rPr>
                <w:rFonts w:ascii="Lato" w:hAnsi="Lato"/>
              </w:rPr>
            </w:pPr>
            <w:r>
              <w:rPr>
                <w:rFonts w:ascii="Lato" w:hAnsi="Lato"/>
              </w:rPr>
              <w:t xml:space="preserve">or </w:t>
            </w:r>
            <w:r w:rsidR="0040318E">
              <w:rPr>
                <w:rFonts w:ascii="Lato" w:hAnsi="Lato"/>
              </w:rPr>
              <w:t xml:space="preserve">methods used </w:t>
            </w:r>
            <w:r w:rsidR="001E21A3">
              <w:rPr>
                <w:rFonts w:ascii="Lato" w:hAnsi="Lato"/>
              </w:rPr>
              <w:t>by the Money Market Fund to value the assets of the Money Market Fund and calculate the NAV</w:t>
            </w:r>
            <w:r>
              <w:rPr>
                <w:rFonts w:ascii="Lato" w:hAnsi="Lato"/>
              </w:rPr>
              <w:t xml:space="preserve"> </w:t>
            </w:r>
          </w:p>
        </w:tc>
        <w:tc>
          <w:tcPr>
            <w:tcW w:w="819" w:type="dxa"/>
            <w:gridSpan w:val="2"/>
            <w:tcBorders>
              <w:top w:val="single" w:sz="4" w:space="0" w:color="auto"/>
              <w:left w:val="nil"/>
              <w:bottom w:val="nil"/>
              <w:right w:val="nil"/>
            </w:tcBorders>
          </w:tcPr>
          <w:p w14:paraId="17753281"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061F2DB3"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7528CD4B"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3958A8F6"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956C2CE"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307C1FB8"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24D9A93E" w14:textId="77777777" w:rsidR="000F5CA9" w:rsidRPr="004E6794" w:rsidRDefault="000F5CA9" w:rsidP="00BC0730">
            <w:pPr>
              <w:spacing w:line="240" w:lineRule="auto"/>
              <w:jc w:val="both"/>
              <w:rPr>
                <w:rFonts w:ascii="Lato" w:hAnsi="Lato"/>
              </w:rPr>
            </w:pPr>
          </w:p>
        </w:tc>
      </w:tr>
      <w:tr w:rsidR="001E21A3" w:rsidRPr="00226335" w14:paraId="1E88C6B3" w14:textId="77777777" w:rsidTr="00BB6A7F">
        <w:tc>
          <w:tcPr>
            <w:tcW w:w="953" w:type="dxa"/>
            <w:gridSpan w:val="2"/>
            <w:tcBorders>
              <w:top w:val="nil"/>
              <w:left w:val="nil"/>
              <w:bottom w:val="nil"/>
              <w:right w:val="nil"/>
            </w:tcBorders>
          </w:tcPr>
          <w:p w14:paraId="530ACB1C"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nil"/>
            </w:tcBorders>
          </w:tcPr>
          <w:p w14:paraId="601EC491" w14:textId="77777777" w:rsidR="001E21A3" w:rsidRDefault="001E21A3" w:rsidP="00BC0730">
            <w:pPr>
              <w:spacing w:line="240" w:lineRule="auto"/>
              <w:rPr>
                <w:rFonts w:ascii="Lato" w:hAnsi="Lato"/>
              </w:rPr>
            </w:pPr>
          </w:p>
        </w:tc>
        <w:tc>
          <w:tcPr>
            <w:tcW w:w="819" w:type="dxa"/>
            <w:gridSpan w:val="2"/>
            <w:tcBorders>
              <w:top w:val="nil"/>
              <w:left w:val="nil"/>
              <w:bottom w:val="nil"/>
              <w:right w:val="nil"/>
            </w:tcBorders>
          </w:tcPr>
          <w:p w14:paraId="1767CEE3" w14:textId="77777777" w:rsidR="001E21A3" w:rsidRPr="004E6794" w:rsidRDefault="001E21A3" w:rsidP="00BC0730">
            <w:pPr>
              <w:spacing w:line="240" w:lineRule="auto"/>
              <w:jc w:val="both"/>
              <w:rPr>
                <w:rFonts w:ascii="Lato" w:hAnsi="Lato"/>
              </w:rPr>
            </w:pPr>
          </w:p>
        </w:tc>
        <w:tc>
          <w:tcPr>
            <w:tcW w:w="356" w:type="dxa"/>
            <w:gridSpan w:val="2"/>
            <w:tcBorders>
              <w:top w:val="nil"/>
              <w:left w:val="nil"/>
              <w:bottom w:val="nil"/>
              <w:right w:val="nil"/>
            </w:tcBorders>
          </w:tcPr>
          <w:p w14:paraId="047896A3" w14:textId="77777777" w:rsidR="001E21A3" w:rsidRPr="004E6794" w:rsidRDefault="001E21A3" w:rsidP="00BC0730">
            <w:pPr>
              <w:spacing w:line="240" w:lineRule="auto"/>
              <w:jc w:val="both"/>
              <w:rPr>
                <w:rFonts w:ascii="Lato" w:hAnsi="Lato"/>
              </w:rPr>
            </w:pPr>
          </w:p>
        </w:tc>
        <w:tc>
          <w:tcPr>
            <w:tcW w:w="1361" w:type="dxa"/>
            <w:gridSpan w:val="2"/>
            <w:tcBorders>
              <w:top w:val="nil"/>
              <w:left w:val="nil"/>
              <w:bottom w:val="nil"/>
              <w:right w:val="nil"/>
            </w:tcBorders>
          </w:tcPr>
          <w:p w14:paraId="21379939" w14:textId="77777777" w:rsidR="001E21A3" w:rsidRPr="004E6794" w:rsidRDefault="001E21A3" w:rsidP="00BC0730">
            <w:pPr>
              <w:spacing w:line="240" w:lineRule="auto"/>
              <w:jc w:val="both"/>
              <w:rPr>
                <w:rFonts w:ascii="Lato" w:hAnsi="Lato"/>
              </w:rPr>
            </w:pPr>
          </w:p>
        </w:tc>
        <w:tc>
          <w:tcPr>
            <w:tcW w:w="433" w:type="dxa"/>
            <w:gridSpan w:val="2"/>
            <w:tcBorders>
              <w:top w:val="nil"/>
              <w:left w:val="nil"/>
              <w:bottom w:val="nil"/>
              <w:right w:val="nil"/>
            </w:tcBorders>
          </w:tcPr>
          <w:p w14:paraId="6CFDE769" w14:textId="77777777" w:rsidR="001E21A3" w:rsidRPr="004E6794" w:rsidRDefault="001E21A3" w:rsidP="00BC0730">
            <w:pPr>
              <w:spacing w:line="240" w:lineRule="auto"/>
              <w:jc w:val="both"/>
              <w:rPr>
                <w:rFonts w:ascii="Lato" w:hAnsi="Lato"/>
              </w:rPr>
            </w:pPr>
          </w:p>
        </w:tc>
        <w:tc>
          <w:tcPr>
            <w:tcW w:w="936" w:type="dxa"/>
            <w:gridSpan w:val="3"/>
            <w:tcBorders>
              <w:top w:val="nil"/>
              <w:left w:val="nil"/>
              <w:bottom w:val="nil"/>
              <w:right w:val="nil"/>
            </w:tcBorders>
          </w:tcPr>
          <w:p w14:paraId="63A3A0D4" w14:textId="77777777" w:rsidR="001E21A3" w:rsidRPr="004E6794" w:rsidRDefault="001E21A3" w:rsidP="00BC0730">
            <w:pPr>
              <w:spacing w:line="240" w:lineRule="auto"/>
              <w:jc w:val="both"/>
              <w:rPr>
                <w:rFonts w:ascii="Lato" w:hAnsi="Lato"/>
              </w:rPr>
            </w:pPr>
          </w:p>
        </w:tc>
        <w:tc>
          <w:tcPr>
            <w:tcW w:w="366" w:type="dxa"/>
            <w:tcBorders>
              <w:top w:val="nil"/>
              <w:left w:val="nil"/>
              <w:bottom w:val="nil"/>
              <w:right w:val="nil"/>
            </w:tcBorders>
          </w:tcPr>
          <w:p w14:paraId="175DBE42"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0258AA45" w14:textId="77777777" w:rsidR="001E21A3" w:rsidRPr="004E6794" w:rsidRDefault="001E21A3" w:rsidP="00BC0730">
            <w:pPr>
              <w:spacing w:line="240" w:lineRule="auto"/>
              <w:jc w:val="both"/>
              <w:rPr>
                <w:rFonts w:ascii="Lato" w:hAnsi="Lato"/>
              </w:rPr>
            </w:pPr>
          </w:p>
        </w:tc>
      </w:tr>
      <w:tr w:rsidR="008709E3" w:rsidRPr="00226335" w14:paraId="4EE65E8B" w14:textId="77777777" w:rsidTr="00BB6A7F">
        <w:tc>
          <w:tcPr>
            <w:tcW w:w="953" w:type="dxa"/>
            <w:gridSpan w:val="2"/>
            <w:tcBorders>
              <w:top w:val="nil"/>
              <w:left w:val="nil"/>
              <w:bottom w:val="nil"/>
              <w:right w:val="nil"/>
            </w:tcBorders>
          </w:tcPr>
          <w:p w14:paraId="7A5111F8" w14:textId="55CF1377" w:rsidR="001E21A3" w:rsidRPr="00BB6A7F" w:rsidRDefault="00E96983" w:rsidP="00BC0730">
            <w:pPr>
              <w:spacing w:line="240" w:lineRule="auto"/>
              <w:jc w:val="both"/>
              <w:rPr>
                <w:rFonts w:ascii="Lato" w:hAnsi="Lato"/>
              </w:rPr>
            </w:pPr>
            <w:r w:rsidRPr="00BB6A7F">
              <w:rPr>
                <w:rFonts w:ascii="Lato" w:hAnsi="Lato"/>
              </w:rPr>
              <w:t>2.6</w:t>
            </w:r>
          </w:p>
        </w:tc>
        <w:tc>
          <w:tcPr>
            <w:tcW w:w="5294" w:type="dxa"/>
            <w:gridSpan w:val="3"/>
            <w:tcBorders>
              <w:top w:val="nil"/>
              <w:left w:val="nil"/>
              <w:bottom w:val="nil"/>
              <w:right w:val="nil"/>
            </w:tcBorders>
          </w:tcPr>
          <w:p w14:paraId="132B45B1" w14:textId="6F419C75" w:rsidR="001E21A3" w:rsidRDefault="001E21A3" w:rsidP="00BC0730">
            <w:pPr>
              <w:spacing w:line="240" w:lineRule="auto"/>
              <w:rPr>
                <w:rFonts w:ascii="Lato" w:hAnsi="Lato"/>
              </w:rPr>
            </w:pPr>
            <w:r>
              <w:rPr>
                <w:rFonts w:ascii="Lato" w:hAnsi="Lato"/>
              </w:rPr>
              <w:t>State that:</w:t>
            </w:r>
          </w:p>
        </w:tc>
        <w:tc>
          <w:tcPr>
            <w:tcW w:w="819" w:type="dxa"/>
            <w:gridSpan w:val="2"/>
            <w:tcBorders>
              <w:top w:val="nil"/>
              <w:left w:val="nil"/>
              <w:bottom w:val="single" w:sz="4" w:space="0" w:color="auto"/>
              <w:right w:val="nil"/>
            </w:tcBorders>
          </w:tcPr>
          <w:p w14:paraId="7E1D4EAB" w14:textId="77777777" w:rsidR="001E21A3" w:rsidRPr="004E6794" w:rsidRDefault="001E21A3" w:rsidP="00BC0730">
            <w:pPr>
              <w:spacing w:line="240" w:lineRule="auto"/>
              <w:jc w:val="both"/>
              <w:rPr>
                <w:rFonts w:ascii="Lato" w:hAnsi="Lato"/>
              </w:rPr>
            </w:pPr>
          </w:p>
        </w:tc>
        <w:tc>
          <w:tcPr>
            <w:tcW w:w="356" w:type="dxa"/>
            <w:gridSpan w:val="2"/>
            <w:tcBorders>
              <w:top w:val="nil"/>
              <w:left w:val="nil"/>
              <w:bottom w:val="nil"/>
              <w:right w:val="nil"/>
            </w:tcBorders>
          </w:tcPr>
          <w:p w14:paraId="455FFF3D" w14:textId="77777777" w:rsidR="001E21A3" w:rsidRPr="004E6794" w:rsidRDefault="001E21A3"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0ECFB096" w14:textId="77777777" w:rsidR="001E21A3" w:rsidRPr="004E6794" w:rsidRDefault="001E21A3" w:rsidP="00BC0730">
            <w:pPr>
              <w:spacing w:line="240" w:lineRule="auto"/>
              <w:jc w:val="both"/>
              <w:rPr>
                <w:rFonts w:ascii="Lato" w:hAnsi="Lato"/>
              </w:rPr>
            </w:pPr>
          </w:p>
        </w:tc>
        <w:tc>
          <w:tcPr>
            <w:tcW w:w="433" w:type="dxa"/>
            <w:gridSpan w:val="2"/>
            <w:tcBorders>
              <w:top w:val="nil"/>
              <w:left w:val="nil"/>
              <w:bottom w:val="nil"/>
              <w:right w:val="nil"/>
            </w:tcBorders>
          </w:tcPr>
          <w:p w14:paraId="50B633C5" w14:textId="77777777" w:rsidR="001E21A3" w:rsidRPr="004E6794" w:rsidRDefault="001E21A3"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78ECFF21" w14:textId="77777777" w:rsidR="001E21A3" w:rsidRPr="004E6794" w:rsidRDefault="001E21A3" w:rsidP="00BC0730">
            <w:pPr>
              <w:spacing w:line="240" w:lineRule="auto"/>
              <w:jc w:val="both"/>
              <w:rPr>
                <w:rFonts w:ascii="Lato" w:hAnsi="Lato"/>
              </w:rPr>
            </w:pPr>
          </w:p>
        </w:tc>
        <w:tc>
          <w:tcPr>
            <w:tcW w:w="366" w:type="dxa"/>
            <w:tcBorders>
              <w:top w:val="nil"/>
              <w:left w:val="nil"/>
              <w:bottom w:val="nil"/>
              <w:right w:val="nil"/>
            </w:tcBorders>
          </w:tcPr>
          <w:p w14:paraId="37048AC7"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444CBC73" w14:textId="77777777" w:rsidR="001E21A3" w:rsidRPr="004E6794" w:rsidRDefault="001E21A3" w:rsidP="00BC0730">
            <w:pPr>
              <w:spacing w:line="240" w:lineRule="auto"/>
              <w:jc w:val="both"/>
              <w:rPr>
                <w:rFonts w:ascii="Lato" w:hAnsi="Lato"/>
              </w:rPr>
            </w:pPr>
          </w:p>
        </w:tc>
      </w:tr>
      <w:tr w:rsidR="008709E3" w:rsidRPr="00226335" w14:paraId="5F169809" w14:textId="77777777" w:rsidTr="00BB6A7F">
        <w:tc>
          <w:tcPr>
            <w:tcW w:w="953" w:type="dxa"/>
            <w:gridSpan w:val="2"/>
            <w:tcBorders>
              <w:top w:val="nil"/>
              <w:left w:val="nil"/>
              <w:bottom w:val="nil"/>
              <w:right w:val="nil"/>
            </w:tcBorders>
          </w:tcPr>
          <w:p w14:paraId="27616B80"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5F65E829" w14:textId="1C3CD79A" w:rsidR="001E21A3" w:rsidRPr="007B13FE" w:rsidRDefault="001E21A3" w:rsidP="007B13FE">
            <w:pPr>
              <w:pStyle w:val="ListParagraph"/>
              <w:numPr>
                <w:ilvl w:val="0"/>
                <w:numId w:val="80"/>
              </w:numPr>
              <w:spacing w:line="240" w:lineRule="auto"/>
              <w:rPr>
                <w:rFonts w:ascii="Lato" w:hAnsi="Lato"/>
              </w:rPr>
            </w:pPr>
            <w:r w:rsidRPr="007B13FE">
              <w:rPr>
                <w:rFonts w:ascii="Lato" w:hAnsi="Lato"/>
              </w:rPr>
              <w:t>the M</w:t>
            </w:r>
            <w:r w:rsidR="00F22D4B">
              <w:rPr>
                <w:rFonts w:ascii="Lato" w:hAnsi="Lato"/>
              </w:rPr>
              <w:t xml:space="preserve">oney </w:t>
            </w:r>
            <w:r w:rsidRPr="007B13FE">
              <w:rPr>
                <w:rFonts w:ascii="Lato" w:hAnsi="Lato"/>
              </w:rPr>
              <w:t>M</w:t>
            </w:r>
            <w:r w:rsidR="00F22D4B">
              <w:rPr>
                <w:rFonts w:ascii="Lato" w:hAnsi="Lato"/>
              </w:rPr>
              <w:t xml:space="preserve">arket </w:t>
            </w:r>
            <w:r w:rsidRPr="007B13FE">
              <w:rPr>
                <w:rFonts w:ascii="Lato" w:hAnsi="Lato"/>
              </w:rPr>
              <w:t>F</w:t>
            </w:r>
            <w:r w:rsidR="00F22D4B">
              <w:rPr>
                <w:rFonts w:ascii="Lato" w:hAnsi="Lato"/>
              </w:rPr>
              <w:t>und</w:t>
            </w:r>
            <w:r w:rsidRPr="007B13FE">
              <w:rPr>
                <w:rFonts w:ascii="Lato" w:hAnsi="Lato"/>
              </w:rPr>
              <w:t xml:space="preserve"> is not a guaranteed </w:t>
            </w:r>
          </w:p>
        </w:tc>
        <w:tc>
          <w:tcPr>
            <w:tcW w:w="819" w:type="dxa"/>
            <w:gridSpan w:val="2"/>
            <w:tcBorders>
              <w:top w:val="single" w:sz="4" w:space="0" w:color="auto"/>
              <w:left w:val="single" w:sz="4" w:space="0" w:color="auto"/>
              <w:bottom w:val="single" w:sz="4" w:space="0" w:color="auto"/>
              <w:right w:val="single" w:sz="4" w:space="0" w:color="auto"/>
            </w:tcBorders>
          </w:tcPr>
          <w:p w14:paraId="638864DA" w14:textId="77777777" w:rsidR="001E21A3" w:rsidRPr="004E6794" w:rsidRDefault="001E21A3"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291F7FC" w14:textId="77777777" w:rsidR="001E21A3" w:rsidRPr="004E6794" w:rsidRDefault="001E21A3"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34E32A88" w14:textId="77777777" w:rsidR="001E21A3" w:rsidRPr="004E6794" w:rsidRDefault="001E21A3"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9E36ECA" w14:textId="77777777" w:rsidR="001E21A3" w:rsidRPr="004E6794" w:rsidRDefault="001E21A3"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51DFB85" w14:textId="77777777" w:rsidR="001E21A3" w:rsidRPr="004E6794" w:rsidRDefault="001E21A3" w:rsidP="00BC0730">
            <w:pPr>
              <w:spacing w:line="240" w:lineRule="auto"/>
              <w:jc w:val="both"/>
              <w:rPr>
                <w:rFonts w:ascii="Lato" w:hAnsi="Lato"/>
              </w:rPr>
            </w:pPr>
          </w:p>
        </w:tc>
        <w:tc>
          <w:tcPr>
            <w:tcW w:w="366" w:type="dxa"/>
            <w:tcBorders>
              <w:top w:val="nil"/>
              <w:left w:val="single" w:sz="4" w:space="0" w:color="auto"/>
              <w:bottom w:val="nil"/>
              <w:right w:val="nil"/>
            </w:tcBorders>
          </w:tcPr>
          <w:p w14:paraId="1A4709BE"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324D6B35" w14:textId="77777777" w:rsidR="001E21A3" w:rsidRPr="004E6794" w:rsidRDefault="001E21A3" w:rsidP="00BC0730">
            <w:pPr>
              <w:spacing w:line="240" w:lineRule="auto"/>
              <w:jc w:val="both"/>
              <w:rPr>
                <w:rFonts w:ascii="Lato" w:hAnsi="Lato"/>
              </w:rPr>
            </w:pPr>
          </w:p>
        </w:tc>
      </w:tr>
      <w:tr w:rsidR="001E21A3" w:rsidRPr="00226335" w14:paraId="6B346906" w14:textId="77777777" w:rsidTr="00BB6A7F">
        <w:tc>
          <w:tcPr>
            <w:tcW w:w="953" w:type="dxa"/>
            <w:gridSpan w:val="2"/>
            <w:tcBorders>
              <w:top w:val="nil"/>
              <w:left w:val="nil"/>
              <w:bottom w:val="nil"/>
              <w:right w:val="nil"/>
            </w:tcBorders>
          </w:tcPr>
          <w:p w14:paraId="294A8A37"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nil"/>
            </w:tcBorders>
          </w:tcPr>
          <w:p w14:paraId="2BA51901" w14:textId="7AF8CC08" w:rsidR="001E21A3" w:rsidRPr="001E21A3" w:rsidRDefault="00F22D4B" w:rsidP="00BC0730">
            <w:pPr>
              <w:spacing w:line="240" w:lineRule="auto"/>
              <w:rPr>
                <w:rFonts w:ascii="Lato" w:hAnsi="Lato"/>
              </w:rPr>
            </w:pPr>
            <w:r w:rsidRPr="0001272B">
              <w:rPr>
                <w:rFonts w:ascii="Lato" w:hAnsi="Lato"/>
              </w:rPr>
              <w:t>investment;</w:t>
            </w:r>
          </w:p>
        </w:tc>
        <w:tc>
          <w:tcPr>
            <w:tcW w:w="819" w:type="dxa"/>
            <w:gridSpan w:val="2"/>
            <w:tcBorders>
              <w:top w:val="single" w:sz="4" w:space="0" w:color="auto"/>
              <w:left w:val="nil"/>
              <w:bottom w:val="single" w:sz="4" w:space="0" w:color="auto"/>
              <w:right w:val="nil"/>
            </w:tcBorders>
          </w:tcPr>
          <w:p w14:paraId="77BCF79A" w14:textId="77777777" w:rsidR="001E21A3" w:rsidRPr="004E6794" w:rsidRDefault="001E21A3" w:rsidP="00BC0730">
            <w:pPr>
              <w:spacing w:line="240" w:lineRule="auto"/>
              <w:jc w:val="both"/>
              <w:rPr>
                <w:rFonts w:ascii="Lato" w:hAnsi="Lato"/>
              </w:rPr>
            </w:pPr>
          </w:p>
        </w:tc>
        <w:tc>
          <w:tcPr>
            <w:tcW w:w="356" w:type="dxa"/>
            <w:gridSpan w:val="2"/>
            <w:tcBorders>
              <w:top w:val="nil"/>
              <w:left w:val="nil"/>
              <w:bottom w:val="nil"/>
              <w:right w:val="nil"/>
            </w:tcBorders>
          </w:tcPr>
          <w:p w14:paraId="2773D0A6" w14:textId="77777777" w:rsidR="001E21A3" w:rsidRPr="004E6794" w:rsidRDefault="001E21A3"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211833F8" w14:textId="77777777" w:rsidR="001E21A3" w:rsidRPr="004E6794" w:rsidRDefault="001E21A3" w:rsidP="00BC0730">
            <w:pPr>
              <w:spacing w:line="240" w:lineRule="auto"/>
              <w:jc w:val="both"/>
              <w:rPr>
                <w:rFonts w:ascii="Lato" w:hAnsi="Lato"/>
              </w:rPr>
            </w:pPr>
          </w:p>
        </w:tc>
        <w:tc>
          <w:tcPr>
            <w:tcW w:w="433" w:type="dxa"/>
            <w:gridSpan w:val="2"/>
            <w:tcBorders>
              <w:top w:val="nil"/>
              <w:left w:val="nil"/>
              <w:bottom w:val="nil"/>
              <w:right w:val="nil"/>
            </w:tcBorders>
          </w:tcPr>
          <w:p w14:paraId="388E6565" w14:textId="77777777" w:rsidR="001E21A3" w:rsidRPr="004E6794" w:rsidRDefault="001E21A3"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49D4A54A" w14:textId="77777777" w:rsidR="001E21A3" w:rsidRPr="004E6794" w:rsidRDefault="001E21A3" w:rsidP="00BC0730">
            <w:pPr>
              <w:spacing w:line="240" w:lineRule="auto"/>
              <w:jc w:val="both"/>
              <w:rPr>
                <w:rFonts w:ascii="Lato" w:hAnsi="Lato"/>
              </w:rPr>
            </w:pPr>
          </w:p>
        </w:tc>
        <w:tc>
          <w:tcPr>
            <w:tcW w:w="366" w:type="dxa"/>
            <w:tcBorders>
              <w:top w:val="nil"/>
              <w:left w:val="nil"/>
              <w:bottom w:val="nil"/>
              <w:right w:val="nil"/>
            </w:tcBorders>
          </w:tcPr>
          <w:p w14:paraId="7DD5DA4D"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1024B4AF" w14:textId="77777777" w:rsidR="001E21A3" w:rsidRPr="004E6794" w:rsidRDefault="001E21A3" w:rsidP="00BC0730">
            <w:pPr>
              <w:spacing w:line="240" w:lineRule="auto"/>
              <w:jc w:val="both"/>
              <w:rPr>
                <w:rFonts w:ascii="Lato" w:hAnsi="Lato"/>
              </w:rPr>
            </w:pPr>
          </w:p>
        </w:tc>
      </w:tr>
      <w:tr w:rsidR="008709E3" w:rsidRPr="00226335" w14:paraId="7027AFB7" w14:textId="77777777" w:rsidTr="00BB6A7F">
        <w:tc>
          <w:tcPr>
            <w:tcW w:w="953" w:type="dxa"/>
            <w:gridSpan w:val="2"/>
            <w:tcBorders>
              <w:top w:val="nil"/>
              <w:left w:val="nil"/>
              <w:bottom w:val="nil"/>
              <w:right w:val="nil"/>
            </w:tcBorders>
          </w:tcPr>
          <w:p w14:paraId="373BC4B0" w14:textId="77777777" w:rsidR="001E21A3" w:rsidRPr="0032593F" w:rsidRDefault="001E21A3"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0AF55DE5" w14:textId="386C2694" w:rsidR="001E21A3" w:rsidRPr="00F22D4B" w:rsidRDefault="00F22D4B" w:rsidP="007B13FE">
            <w:pPr>
              <w:pStyle w:val="ListParagraph"/>
              <w:numPr>
                <w:ilvl w:val="0"/>
                <w:numId w:val="80"/>
              </w:numPr>
              <w:spacing w:line="240" w:lineRule="auto"/>
              <w:rPr>
                <w:rFonts w:ascii="Lato" w:hAnsi="Lato"/>
              </w:rPr>
            </w:pPr>
            <w:r>
              <w:rPr>
                <w:rFonts w:ascii="Lato" w:hAnsi="Lato"/>
              </w:rPr>
              <w:t xml:space="preserve">an investment in Money Market Funds is </w:t>
            </w:r>
          </w:p>
        </w:tc>
        <w:tc>
          <w:tcPr>
            <w:tcW w:w="819" w:type="dxa"/>
            <w:gridSpan w:val="2"/>
            <w:tcBorders>
              <w:top w:val="single" w:sz="4" w:space="0" w:color="auto"/>
              <w:left w:val="single" w:sz="4" w:space="0" w:color="auto"/>
              <w:bottom w:val="single" w:sz="4" w:space="0" w:color="auto"/>
              <w:right w:val="single" w:sz="4" w:space="0" w:color="auto"/>
            </w:tcBorders>
          </w:tcPr>
          <w:p w14:paraId="021FD863" w14:textId="77777777" w:rsidR="001E21A3" w:rsidRPr="004E6794" w:rsidRDefault="001E21A3"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ABCF84D" w14:textId="77777777" w:rsidR="001E21A3" w:rsidRPr="004E6794" w:rsidRDefault="001E21A3"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5E8E6D80" w14:textId="77777777" w:rsidR="001E21A3" w:rsidRPr="004E6794" w:rsidRDefault="001E21A3"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190BBBF1" w14:textId="77777777" w:rsidR="001E21A3" w:rsidRPr="004E6794" w:rsidRDefault="001E21A3"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235CA5D" w14:textId="77777777" w:rsidR="001E21A3" w:rsidRPr="004E6794" w:rsidRDefault="001E21A3" w:rsidP="00BC0730">
            <w:pPr>
              <w:spacing w:line="240" w:lineRule="auto"/>
              <w:jc w:val="both"/>
              <w:rPr>
                <w:rFonts w:ascii="Lato" w:hAnsi="Lato"/>
              </w:rPr>
            </w:pPr>
          </w:p>
        </w:tc>
        <w:tc>
          <w:tcPr>
            <w:tcW w:w="366" w:type="dxa"/>
            <w:tcBorders>
              <w:top w:val="nil"/>
              <w:left w:val="single" w:sz="4" w:space="0" w:color="auto"/>
              <w:bottom w:val="nil"/>
              <w:right w:val="nil"/>
            </w:tcBorders>
          </w:tcPr>
          <w:p w14:paraId="14A14C5F" w14:textId="77777777" w:rsidR="001E21A3" w:rsidRPr="004E6794" w:rsidRDefault="001E21A3" w:rsidP="00BC0730">
            <w:pPr>
              <w:spacing w:line="240" w:lineRule="auto"/>
              <w:jc w:val="both"/>
              <w:rPr>
                <w:rFonts w:ascii="Lato" w:hAnsi="Lato"/>
              </w:rPr>
            </w:pPr>
          </w:p>
        </w:tc>
        <w:tc>
          <w:tcPr>
            <w:tcW w:w="631" w:type="dxa"/>
            <w:gridSpan w:val="2"/>
            <w:tcBorders>
              <w:top w:val="nil"/>
              <w:left w:val="nil"/>
              <w:bottom w:val="nil"/>
              <w:right w:val="nil"/>
            </w:tcBorders>
          </w:tcPr>
          <w:p w14:paraId="0AFB9249" w14:textId="77777777" w:rsidR="001E21A3" w:rsidRPr="004E6794" w:rsidRDefault="001E21A3" w:rsidP="00BC0730">
            <w:pPr>
              <w:spacing w:line="240" w:lineRule="auto"/>
              <w:jc w:val="both"/>
              <w:rPr>
                <w:rFonts w:ascii="Lato" w:hAnsi="Lato"/>
              </w:rPr>
            </w:pPr>
          </w:p>
        </w:tc>
      </w:tr>
      <w:tr w:rsidR="000F5CA9" w:rsidRPr="00226335" w14:paraId="54056529" w14:textId="77777777" w:rsidTr="00BB6A7F">
        <w:tc>
          <w:tcPr>
            <w:tcW w:w="953" w:type="dxa"/>
            <w:gridSpan w:val="2"/>
            <w:tcBorders>
              <w:top w:val="nil"/>
              <w:left w:val="nil"/>
              <w:bottom w:val="nil"/>
              <w:right w:val="nil"/>
            </w:tcBorders>
          </w:tcPr>
          <w:p w14:paraId="364F87F8" w14:textId="77777777" w:rsidR="000F5CA9" w:rsidRPr="0032593F" w:rsidRDefault="000F5CA9" w:rsidP="00BC0730">
            <w:pPr>
              <w:spacing w:line="240" w:lineRule="auto"/>
              <w:jc w:val="both"/>
              <w:rPr>
                <w:rFonts w:ascii="Lato" w:hAnsi="Lato"/>
              </w:rPr>
            </w:pPr>
          </w:p>
        </w:tc>
        <w:tc>
          <w:tcPr>
            <w:tcW w:w="5294" w:type="dxa"/>
            <w:gridSpan w:val="3"/>
            <w:tcBorders>
              <w:top w:val="nil"/>
              <w:left w:val="nil"/>
              <w:bottom w:val="nil"/>
              <w:right w:val="nil"/>
            </w:tcBorders>
          </w:tcPr>
          <w:p w14:paraId="241FF948" w14:textId="625D4738" w:rsidR="000F5CA9" w:rsidRPr="001E21A3" w:rsidRDefault="00F22D4B" w:rsidP="00BC0730">
            <w:pPr>
              <w:spacing w:line="240" w:lineRule="auto"/>
              <w:rPr>
                <w:rFonts w:ascii="Lato" w:hAnsi="Lato"/>
              </w:rPr>
            </w:pPr>
            <w:r>
              <w:rPr>
                <w:rFonts w:ascii="Lato" w:hAnsi="Lato"/>
              </w:rPr>
              <w:t>different from an investment in deposits, with particular reference to the risk that the principal invested in a Money Market Fund is capable of fluctuation</w:t>
            </w:r>
            <w:r w:rsidR="00B5072E">
              <w:rPr>
                <w:rFonts w:ascii="Lato" w:hAnsi="Lato"/>
              </w:rPr>
              <w:t>;</w:t>
            </w:r>
          </w:p>
        </w:tc>
        <w:tc>
          <w:tcPr>
            <w:tcW w:w="819" w:type="dxa"/>
            <w:gridSpan w:val="2"/>
            <w:tcBorders>
              <w:top w:val="single" w:sz="4" w:space="0" w:color="auto"/>
              <w:left w:val="nil"/>
              <w:bottom w:val="single" w:sz="4" w:space="0" w:color="auto"/>
              <w:right w:val="nil"/>
            </w:tcBorders>
          </w:tcPr>
          <w:p w14:paraId="79AAFDDE" w14:textId="77777777" w:rsidR="000F5CA9" w:rsidRPr="004E6794" w:rsidRDefault="000F5CA9" w:rsidP="00BC0730">
            <w:pPr>
              <w:spacing w:line="240" w:lineRule="auto"/>
              <w:jc w:val="both"/>
              <w:rPr>
                <w:rFonts w:ascii="Lato" w:hAnsi="Lato"/>
              </w:rPr>
            </w:pPr>
          </w:p>
        </w:tc>
        <w:tc>
          <w:tcPr>
            <w:tcW w:w="356" w:type="dxa"/>
            <w:gridSpan w:val="2"/>
            <w:tcBorders>
              <w:top w:val="nil"/>
              <w:left w:val="nil"/>
              <w:bottom w:val="nil"/>
              <w:right w:val="nil"/>
            </w:tcBorders>
          </w:tcPr>
          <w:p w14:paraId="2FDA2F20" w14:textId="77777777" w:rsidR="000F5CA9" w:rsidRPr="004E6794" w:rsidRDefault="000F5CA9"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604EB3AB" w14:textId="77777777" w:rsidR="000F5CA9" w:rsidRPr="004E6794" w:rsidRDefault="000F5CA9" w:rsidP="00BC0730">
            <w:pPr>
              <w:spacing w:line="240" w:lineRule="auto"/>
              <w:jc w:val="both"/>
              <w:rPr>
                <w:rFonts w:ascii="Lato" w:hAnsi="Lato"/>
              </w:rPr>
            </w:pPr>
          </w:p>
        </w:tc>
        <w:tc>
          <w:tcPr>
            <w:tcW w:w="433" w:type="dxa"/>
            <w:gridSpan w:val="2"/>
            <w:tcBorders>
              <w:top w:val="nil"/>
              <w:left w:val="nil"/>
              <w:bottom w:val="nil"/>
              <w:right w:val="nil"/>
            </w:tcBorders>
          </w:tcPr>
          <w:p w14:paraId="464F872E" w14:textId="77777777" w:rsidR="000F5CA9" w:rsidRPr="004E6794" w:rsidRDefault="000F5CA9"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7401C44D" w14:textId="77777777" w:rsidR="000F5CA9" w:rsidRPr="004E6794" w:rsidRDefault="000F5CA9" w:rsidP="00BC0730">
            <w:pPr>
              <w:spacing w:line="240" w:lineRule="auto"/>
              <w:jc w:val="both"/>
              <w:rPr>
                <w:rFonts w:ascii="Lato" w:hAnsi="Lato"/>
              </w:rPr>
            </w:pPr>
          </w:p>
        </w:tc>
        <w:tc>
          <w:tcPr>
            <w:tcW w:w="366" w:type="dxa"/>
            <w:tcBorders>
              <w:top w:val="nil"/>
              <w:left w:val="nil"/>
              <w:bottom w:val="nil"/>
              <w:right w:val="nil"/>
            </w:tcBorders>
          </w:tcPr>
          <w:p w14:paraId="02D4C0F4" w14:textId="77777777" w:rsidR="000F5CA9" w:rsidRPr="004E6794" w:rsidRDefault="000F5CA9" w:rsidP="00BC0730">
            <w:pPr>
              <w:spacing w:line="240" w:lineRule="auto"/>
              <w:jc w:val="both"/>
              <w:rPr>
                <w:rFonts w:ascii="Lato" w:hAnsi="Lato"/>
              </w:rPr>
            </w:pPr>
          </w:p>
        </w:tc>
        <w:tc>
          <w:tcPr>
            <w:tcW w:w="631" w:type="dxa"/>
            <w:gridSpan w:val="2"/>
            <w:tcBorders>
              <w:top w:val="nil"/>
              <w:left w:val="nil"/>
              <w:bottom w:val="nil"/>
              <w:right w:val="nil"/>
            </w:tcBorders>
          </w:tcPr>
          <w:p w14:paraId="36FAF13C" w14:textId="77777777" w:rsidR="000F5CA9" w:rsidRPr="004E6794" w:rsidRDefault="000F5CA9" w:rsidP="00BC0730">
            <w:pPr>
              <w:spacing w:line="240" w:lineRule="auto"/>
              <w:jc w:val="both"/>
              <w:rPr>
                <w:rFonts w:ascii="Lato" w:hAnsi="Lato"/>
              </w:rPr>
            </w:pPr>
          </w:p>
        </w:tc>
      </w:tr>
      <w:tr w:rsidR="008709E3" w:rsidRPr="00226335" w14:paraId="58F31617" w14:textId="77777777" w:rsidTr="00BB6A7F">
        <w:tc>
          <w:tcPr>
            <w:tcW w:w="953" w:type="dxa"/>
            <w:gridSpan w:val="2"/>
            <w:tcBorders>
              <w:top w:val="nil"/>
              <w:left w:val="nil"/>
              <w:bottom w:val="nil"/>
              <w:right w:val="nil"/>
            </w:tcBorders>
          </w:tcPr>
          <w:p w14:paraId="30F1BF4F"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4544FDF5" w14:textId="7689D45F" w:rsidR="00B5072E" w:rsidRPr="007B13FE" w:rsidRDefault="00B5072E" w:rsidP="007B13FE">
            <w:pPr>
              <w:pStyle w:val="ListParagraph"/>
              <w:numPr>
                <w:ilvl w:val="0"/>
                <w:numId w:val="80"/>
              </w:numPr>
              <w:spacing w:line="240" w:lineRule="auto"/>
              <w:rPr>
                <w:rFonts w:ascii="Lato" w:hAnsi="Lato"/>
              </w:rPr>
            </w:pPr>
            <w:r>
              <w:rPr>
                <w:rFonts w:ascii="Lato" w:hAnsi="Lato"/>
              </w:rPr>
              <w:t xml:space="preserve">the Money Market Fund does not rely on </w:t>
            </w:r>
          </w:p>
        </w:tc>
        <w:tc>
          <w:tcPr>
            <w:tcW w:w="819" w:type="dxa"/>
            <w:gridSpan w:val="2"/>
            <w:tcBorders>
              <w:top w:val="single" w:sz="4" w:space="0" w:color="auto"/>
              <w:left w:val="single" w:sz="4" w:space="0" w:color="auto"/>
              <w:bottom w:val="single" w:sz="4" w:space="0" w:color="auto"/>
              <w:right w:val="single" w:sz="4" w:space="0" w:color="auto"/>
            </w:tcBorders>
          </w:tcPr>
          <w:p w14:paraId="02CF8C0E" w14:textId="77777777" w:rsidR="00B5072E" w:rsidRPr="004E6794" w:rsidRDefault="00B5072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6F3CA5B6"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4AE32E8" w14:textId="77777777" w:rsidR="00B5072E" w:rsidRPr="004E6794" w:rsidRDefault="00B5072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9E3952C"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ADE76E1" w14:textId="77777777" w:rsidR="00B5072E" w:rsidRPr="004E6794" w:rsidRDefault="00B5072E" w:rsidP="00BC0730">
            <w:pPr>
              <w:spacing w:line="240" w:lineRule="auto"/>
              <w:jc w:val="both"/>
              <w:rPr>
                <w:rFonts w:ascii="Lato" w:hAnsi="Lato"/>
              </w:rPr>
            </w:pPr>
          </w:p>
        </w:tc>
        <w:tc>
          <w:tcPr>
            <w:tcW w:w="366" w:type="dxa"/>
            <w:tcBorders>
              <w:top w:val="nil"/>
              <w:left w:val="single" w:sz="4" w:space="0" w:color="auto"/>
              <w:bottom w:val="nil"/>
              <w:right w:val="nil"/>
            </w:tcBorders>
          </w:tcPr>
          <w:p w14:paraId="63834A90"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3ED05253" w14:textId="77777777" w:rsidR="00B5072E" w:rsidRPr="004E6794" w:rsidRDefault="00B5072E" w:rsidP="00BC0730">
            <w:pPr>
              <w:spacing w:line="240" w:lineRule="auto"/>
              <w:jc w:val="both"/>
              <w:rPr>
                <w:rFonts w:ascii="Lato" w:hAnsi="Lato"/>
              </w:rPr>
            </w:pPr>
          </w:p>
        </w:tc>
      </w:tr>
      <w:tr w:rsidR="00B5072E" w:rsidRPr="00226335" w14:paraId="7F0EDB20" w14:textId="77777777" w:rsidTr="00BB6A7F">
        <w:tc>
          <w:tcPr>
            <w:tcW w:w="953" w:type="dxa"/>
            <w:gridSpan w:val="2"/>
            <w:tcBorders>
              <w:top w:val="nil"/>
              <w:left w:val="nil"/>
              <w:bottom w:val="nil"/>
              <w:right w:val="nil"/>
            </w:tcBorders>
          </w:tcPr>
          <w:p w14:paraId="690965E6"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nil"/>
            </w:tcBorders>
          </w:tcPr>
          <w:p w14:paraId="28970C49" w14:textId="6644EC37" w:rsidR="00B5072E" w:rsidRDefault="00B5072E" w:rsidP="00BC0730">
            <w:pPr>
              <w:spacing w:line="240" w:lineRule="auto"/>
              <w:rPr>
                <w:rFonts w:ascii="Lato" w:hAnsi="Lato"/>
              </w:rPr>
            </w:pPr>
            <w:r>
              <w:rPr>
                <w:rFonts w:ascii="Lato" w:hAnsi="Lato"/>
              </w:rPr>
              <w:t>external support for guaranteeing the liquidity of the Money Market Fund or stabilising the NAV per unit or share</w:t>
            </w:r>
            <w:r w:rsidR="00800069">
              <w:rPr>
                <w:rFonts w:ascii="Lato" w:hAnsi="Lato"/>
              </w:rPr>
              <w:t>;</w:t>
            </w:r>
          </w:p>
        </w:tc>
        <w:tc>
          <w:tcPr>
            <w:tcW w:w="819" w:type="dxa"/>
            <w:gridSpan w:val="2"/>
            <w:tcBorders>
              <w:top w:val="single" w:sz="4" w:space="0" w:color="auto"/>
              <w:left w:val="nil"/>
              <w:bottom w:val="single" w:sz="4" w:space="0" w:color="auto"/>
              <w:right w:val="nil"/>
            </w:tcBorders>
          </w:tcPr>
          <w:p w14:paraId="45BF1D4B" w14:textId="77777777" w:rsidR="00B5072E" w:rsidRPr="004E6794" w:rsidRDefault="00B5072E" w:rsidP="00BC0730">
            <w:pPr>
              <w:spacing w:line="240" w:lineRule="auto"/>
              <w:jc w:val="both"/>
              <w:rPr>
                <w:rFonts w:ascii="Lato" w:hAnsi="Lato"/>
              </w:rPr>
            </w:pPr>
          </w:p>
        </w:tc>
        <w:tc>
          <w:tcPr>
            <w:tcW w:w="356" w:type="dxa"/>
            <w:gridSpan w:val="2"/>
            <w:tcBorders>
              <w:top w:val="nil"/>
              <w:left w:val="nil"/>
              <w:bottom w:val="nil"/>
              <w:right w:val="nil"/>
            </w:tcBorders>
          </w:tcPr>
          <w:p w14:paraId="4FD398BE"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03978A58" w14:textId="77777777" w:rsidR="00B5072E" w:rsidRPr="004E6794" w:rsidRDefault="00B5072E" w:rsidP="00BC0730">
            <w:pPr>
              <w:spacing w:line="240" w:lineRule="auto"/>
              <w:jc w:val="both"/>
              <w:rPr>
                <w:rFonts w:ascii="Lato" w:hAnsi="Lato"/>
              </w:rPr>
            </w:pPr>
          </w:p>
        </w:tc>
        <w:tc>
          <w:tcPr>
            <w:tcW w:w="433" w:type="dxa"/>
            <w:gridSpan w:val="2"/>
            <w:tcBorders>
              <w:top w:val="nil"/>
              <w:left w:val="nil"/>
              <w:bottom w:val="nil"/>
              <w:right w:val="nil"/>
            </w:tcBorders>
          </w:tcPr>
          <w:p w14:paraId="67A2F2DC"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714BD828" w14:textId="77777777" w:rsidR="00B5072E" w:rsidRPr="004E6794" w:rsidRDefault="00B5072E" w:rsidP="00BC0730">
            <w:pPr>
              <w:spacing w:line="240" w:lineRule="auto"/>
              <w:jc w:val="both"/>
              <w:rPr>
                <w:rFonts w:ascii="Lato" w:hAnsi="Lato"/>
              </w:rPr>
            </w:pPr>
          </w:p>
        </w:tc>
        <w:tc>
          <w:tcPr>
            <w:tcW w:w="366" w:type="dxa"/>
            <w:tcBorders>
              <w:top w:val="nil"/>
              <w:left w:val="nil"/>
              <w:bottom w:val="nil"/>
              <w:right w:val="nil"/>
            </w:tcBorders>
          </w:tcPr>
          <w:p w14:paraId="05B06880"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5BA5B49D" w14:textId="77777777" w:rsidR="00B5072E" w:rsidRPr="004E6794" w:rsidRDefault="00B5072E" w:rsidP="00BC0730">
            <w:pPr>
              <w:spacing w:line="240" w:lineRule="auto"/>
              <w:jc w:val="both"/>
              <w:rPr>
                <w:rFonts w:ascii="Lato" w:hAnsi="Lato"/>
              </w:rPr>
            </w:pPr>
          </w:p>
        </w:tc>
      </w:tr>
      <w:tr w:rsidR="008709E3" w:rsidRPr="00226335" w14:paraId="5F0271ED" w14:textId="77777777" w:rsidTr="00BB6A7F">
        <w:tc>
          <w:tcPr>
            <w:tcW w:w="953" w:type="dxa"/>
            <w:gridSpan w:val="2"/>
            <w:tcBorders>
              <w:top w:val="nil"/>
              <w:left w:val="nil"/>
              <w:bottom w:val="nil"/>
              <w:right w:val="nil"/>
            </w:tcBorders>
          </w:tcPr>
          <w:p w14:paraId="536CF490"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15EF19F2" w14:textId="4E9386D8" w:rsidR="00B5072E" w:rsidRPr="007B13FE" w:rsidRDefault="00800069" w:rsidP="007B13FE">
            <w:pPr>
              <w:pStyle w:val="ListParagraph"/>
              <w:numPr>
                <w:ilvl w:val="0"/>
                <w:numId w:val="80"/>
              </w:numPr>
              <w:spacing w:line="240" w:lineRule="auto"/>
              <w:rPr>
                <w:rFonts w:ascii="Lato" w:hAnsi="Lato"/>
              </w:rPr>
            </w:pPr>
            <w:r>
              <w:rPr>
                <w:rFonts w:ascii="Lato" w:hAnsi="Lato"/>
              </w:rPr>
              <w:t>the risk of loss of the principal is to be borne</w:t>
            </w:r>
          </w:p>
        </w:tc>
        <w:tc>
          <w:tcPr>
            <w:tcW w:w="819" w:type="dxa"/>
            <w:gridSpan w:val="2"/>
            <w:tcBorders>
              <w:top w:val="single" w:sz="4" w:space="0" w:color="auto"/>
              <w:left w:val="single" w:sz="4" w:space="0" w:color="auto"/>
              <w:bottom w:val="single" w:sz="4" w:space="0" w:color="auto"/>
              <w:right w:val="single" w:sz="4" w:space="0" w:color="auto"/>
            </w:tcBorders>
          </w:tcPr>
          <w:p w14:paraId="10C32665" w14:textId="77777777" w:rsidR="00B5072E" w:rsidRPr="004E6794" w:rsidRDefault="00B5072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29A49D20"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2B2CA373" w14:textId="77777777" w:rsidR="00B5072E" w:rsidRPr="004E6794" w:rsidRDefault="00B5072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A874FE9"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4119561" w14:textId="77777777" w:rsidR="00B5072E" w:rsidRPr="004E6794" w:rsidRDefault="00B5072E" w:rsidP="00BC0730">
            <w:pPr>
              <w:spacing w:line="240" w:lineRule="auto"/>
              <w:jc w:val="both"/>
              <w:rPr>
                <w:rFonts w:ascii="Lato" w:hAnsi="Lato"/>
              </w:rPr>
            </w:pPr>
          </w:p>
        </w:tc>
        <w:tc>
          <w:tcPr>
            <w:tcW w:w="366" w:type="dxa"/>
            <w:tcBorders>
              <w:top w:val="nil"/>
              <w:left w:val="single" w:sz="4" w:space="0" w:color="auto"/>
              <w:bottom w:val="nil"/>
              <w:right w:val="nil"/>
            </w:tcBorders>
          </w:tcPr>
          <w:p w14:paraId="119C8E1F"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3E04F39C" w14:textId="77777777" w:rsidR="00B5072E" w:rsidRPr="004E6794" w:rsidRDefault="00B5072E" w:rsidP="00BC0730">
            <w:pPr>
              <w:spacing w:line="240" w:lineRule="auto"/>
              <w:jc w:val="both"/>
              <w:rPr>
                <w:rFonts w:ascii="Lato" w:hAnsi="Lato"/>
              </w:rPr>
            </w:pPr>
          </w:p>
        </w:tc>
      </w:tr>
      <w:tr w:rsidR="008709E3" w:rsidRPr="00226335" w14:paraId="15A2F974" w14:textId="77777777" w:rsidTr="00BB6A7F">
        <w:tc>
          <w:tcPr>
            <w:tcW w:w="953" w:type="dxa"/>
            <w:gridSpan w:val="2"/>
            <w:tcBorders>
              <w:top w:val="nil"/>
              <w:left w:val="nil"/>
              <w:bottom w:val="nil"/>
              <w:right w:val="nil"/>
            </w:tcBorders>
          </w:tcPr>
          <w:p w14:paraId="1F57B2D9" w14:textId="77777777" w:rsidR="00B5072E" w:rsidRPr="0032593F" w:rsidRDefault="00B5072E" w:rsidP="00BC0730">
            <w:pPr>
              <w:spacing w:line="240" w:lineRule="auto"/>
              <w:jc w:val="both"/>
              <w:rPr>
                <w:rFonts w:ascii="Lato" w:hAnsi="Lato"/>
              </w:rPr>
            </w:pPr>
          </w:p>
        </w:tc>
        <w:tc>
          <w:tcPr>
            <w:tcW w:w="5294" w:type="dxa"/>
            <w:gridSpan w:val="3"/>
            <w:tcBorders>
              <w:top w:val="nil"/>
              <w:left w:val="nil"/>
              <w:bottom w:val="nil"/>
              <w:right w:val="nil"/>
            </w:tcBorders>
          </w:tcPr>
          <w:p w14:paraId="02750288" w14:textId="7BC122C2" w:rsidR="00B5072E" w:rsidRDefault="00800069" w:rsidP="00BC0730">
            <w:pPr>
              <w:spacing w:line="240" w:lineRule="auto"/>
              <w:rPr>
                <w:rFonts w:ascii="Lato" w:hAnsi="Lato"/>
              </w:rPr>
            </w:pPr>
            <w:r>
              <w:rPr>
                <w:rFonts w:ascii="Lato" w:hAnsi="Lato"/>
              </w:rPr>
              <w:t>by the investor</w:t>
            </w:r>
          </w:p>
        </w:tc>
        <w:tc>
          <w:tcPr>
            <w:tcW w:w="819" w:type="dxa"/>
            <w:gridSpan w:val="2"/>
            <w:tcBorders>
              <w:top w:val="single" w:sz="4" w:space="0" w:color="auto"/>
              <w:left w:val="nil"/>
              <w:bottom w:val="nil"/>
              <w:right w:val="nil"/>
            </w:tcBorders>
          </w:tcPr>
          <w:p w14:paraId="5DEECAC2" w14:textId="77777777" w:rsidR="00B5072E" w:rsidRPr="004E6794" w:rsidRDefault="00B5072E" w:rsidP="00BC0730">
            <w:pPr>
              <w:spacing w:line="240" w:lineRule="auto"/>
              <w:jc w:val="both"/>
              <w:rPr>
                <w:rFonts w:ascii="Lato" w:hAnsi="Lato"/>
              </w:rPr>
            </w:pPr>
          </w:p>
        </w:tc>
        <w:tc>
          <w:tcPr>
            <w:tcW w:w="356" w:type="dxa"/>
            <w:gridSpan w:val="2"/>
            <w:tcBorders>
              <w:top w:val="nil"/>
              <w:left w:val="nil"/>
              <w:bottom w:val="nil"/>
              <w:right w:val="nil"/>
            </w:tcBorders>
          </w:tcPr>
          <w:p w14:paraId="2CE56CE4" w14:textId="77777777" w:rsidR="00B5072E" w:rsidRPr="004E6794" w:rsidRDefault="00B5072E"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788F2D55" w14:textId="77777777" w:rsidR="00B5072E" w:rsidRPr="004E6794" w:rsidRDefault="00B5072E" w:rsidP="00BC0730">
            <w:pPr>
              <w:spacing w:line="240" w:lineRule="auto"/>
              <w:jc w:val="both"/>
              <w:rPr>
                <w:rFonts w:ascii="Lato" w:hAnsi="Lato"/>
              </w:rPr>
            </w:pPr>
          </w:p>
        </w:tc>
        <w:tc>
          <w:tcPr>
            <w:tcW w:w="433" w:type="dxa"/>
            <w:gridSpan w:val="2"/>
            <w:tcBorders>
              <w:top w:val="nil"/>
              <w:left w:val="nil"/>
              <w:bottom w:val="nil"/>
              <w:right w:val="nil"/>
            </w:tcBorders>
          </w:tcPr>
          <w:p w14:paraId="27CB1329" w14:textId="77777777" w:rsidR="00B5072E" w:rsidRPr="004E6794" w:rsidRDefault="00B5072E"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34AADA58" w14:textId="77777777" w:rsidR="00B5072E" w:rsidRPr="004E6794" w:rsidRDefault="00B5072E" w:rsidP="00BC0730">
            <w:pPr>
              <w:spacing w:line="240" w:lineRule="auto"/>
              <w:jc w:val="both"/>
              <w:rPr>
                <w:rFonts w:ascii="Lato" w:hAnsi="Lato"/>
              </w:rPr>
            </w:pPr>
          </w:p>
        </w:tc>
        <w:tc>
          <w:tcPr>
            <w:tcW w:w="366" w:type="dxa"/>
            <w:tcBorders>
              <w:top w:val="nil"/>
              <w:left w:val="nil"/>
              <w:bottom w:val="nil"/>
              <w:right w:val="nil"/>
            </w:tcBorders>
          </w:tcPr>
          <w:p w14:paraId="198742A1" w14:textId="77777777" w:rsidR="00B5072E" w:rsidRPr="004E6794" w:rsidRDefault="00B5072E" w:rsidP="00BC0730">
            <w:pPr>
              <w:spacing w:line="240" w:lineRule="auto"/>
              <w:jc w:val="both"/>
              <w:rPr>
                <w:rFonts w:ascii="Lato" w:hAnsi="Lato"/>
              </w:rPr>
            </w:pPr>
          </w:p>
        </w:tc>
        <w:tc>
          <w:tcPr>
            <w:tcW w:w="631" w:type="dxa"/>
            <w:gridSpan w:val="2"/>
            <w:tcBorders>
              <w:top w:val="nil"/>
              <w:left w:val="nil"/>
              <w:bottom w:val="nil"/>
              <w:right w:val="nil"/>
            </w:tcBorders>
          </w:tcPr>
          <w:p w14:paraId="7513DA19" w14:textId="77777777" w:rsidR="00B5072E" w:rsidRPr="004E6794" w:rsidRDefault="00B5072E" w:rsidP="00BC0730">
            <w:pPr>
              <w:spacing w:line="240" w:lineRule="auto"/>
              <w:jc w:val="both"/>
              <w:rPr>
                <w:rFonts w:ascii="Lato" w:hAnsi="Lato"/>
              </w:rPr>
            </w:pPr>
          </w:p>
        </w:tc>
      </w:tr>
      <w:tr w:rsidR="00DB7E1D" w:rsidRPr="00226335" w14:paraId="64C83096" w14:textId="77777777" w:rsidTr="00BB6A7F">
        <w:tc>
          <w:tcPr>
            <w:tcW w:w="953" w:type="dxa"/>
            <w:gridSpan w:val="2"/>
            <w:tcBorders>
              <w:top w:val="nil"/>
              <w:left w:val="nil"/>
              <w:bottom w:val="nil"/>
              <w:right w:val="nil"/>
            </w:tcBorders>
          </w:tcPr>
          <w:p w14:paraId="00934970" w14:textId="77777777" w:rsidR="00DB7E1D" w:rsidRPr="0032593F" w:rsidRDefault="00DB7E1D" w:rsidP="00BC0730">
            <w:pPr>
              <w:spacing w:line="240" w:lineRule="auto"/>
              <w:jc w:val="both"/>
              <w:rPr>
                <w:rFonts w:ascii="Lato" w:hAnsi="Lato"/>
              </w:rPr>
            </w:pPr>
          </w:p>
        </w:tc>
        <w:tc>
          <w:tcPr>
            <w:tcW w:w="5294" w:type="dxa"/>
            <w:gridSpan w:val="3"/>
            <w:tcBorders>
              <w:top w:val="nil"/>
              <w:left w:val="nil"/>
              <w:bottom w:val="nil"/>
              <w:right w:val="nil"/>
            </w:tcBorders>
          </w:tcPr>
          <w:p w14:paraId="2D74FAA5" w14:textId="77777777" w:rsidR="00DB7E1D" w:rsidRDefault="00DB7E1D" w:rsidP="00BC0730">
            <w:pPr>
              <w:spacing w:line="240" w:lineRule="auto"/>
              <w:rPr>
                <w:rFonts w:ascii="Lato" w:hAnsi="Lato"/>
              </w:rPr>
            </w:pPr>
          </w:p>
        </w:tc>
        <w:tc>
          <w:tcPr>
            <w:tcW w:w="819" w:type="dxa"/>
            <w:gridSpan w:val="2"/>
            <w:tcBorders>
              <w:top w:val="nil"/>
              <w:left w:val="nil"/>
              <w:bottom w:val="nil"/>
              <w:right w:val="nil"/>
            </w:tcBorders>
          </w:tcPr>
          <w:p w14:paraId="7BC0652E" w14:textId="77777777" w:rsidR="00DB7E1D" w:rsidRPr="004E6794" w:rsidRDefault="00DB7E1D" w:rsidP="00BC0730">
            <w:pPr>
              <w:spacing w:line="240" w:lineRule="auto"/>
              <w:jc w:val="both"/>
              <w:rPr>
                <w:rFonts w:ascii="Lato" w:hAnsi="Lato"/>
              </w:rPr>
            </w:pPr>
          </w:p>
        </w:tc>
        <w:tc>
          <w:tcPr>
            <w:tcW w:w="356" w:type="dxa"/>
            <w:gridSpan w:val="2"/>
            <w:tcBorders>
              <w:top w:val="nil"/>
              <w:left w:val="nil"/>
              <w:bottom w:val="nil"/>
              <w:right w:val="nil"/>
            </w:tcBorders>
          </w:tcPr>
          <w:p w14:paraId="1EF687DE" w14:textId="77777777" w:rsidR="00DB7E1D" w:rsidRPr="004E6794" w:rsidRDefault="00DB7E1D" w:rsidP="00BC0730">
            <w:pPr>
              <w:spacing w:line="240" w:lineRule="auto"/>
              <w:jc w:val="both"/>
              <w:rPr>
                <w:rFonts w:ascii="Lato" w:hAnsi="Lato"/>
              </w:rPr>
            </w:pPr>
          </w:p>
        </w:tc>
        <w:tc>
          <w:tcPr>
            <w:tcW w:w="1361" w:type="dxa"/>
            <w:gridSpan w:val="2"/>
            <w:tcBorders>
              <w:top w:val="nil"/>
              <w:left w:val="nil"/>
              <w:bottom w:val="nil"/>
              <w:right w:val="nil"/>
            </w:tcBorders>
          </w:tcPr>
          <w:p w14:paraId="72C70BF7" w14:textId="77777777" w:rsidR="00DB7E1D" w:rsidRPr="004E6794" w:rsidRDefault="00DB7E1D" w:rsidP="00BC0730">
            <w:pPr>
              <w:spacing w:line="240" w:lineRule="auto"/>
              <w:jc w:val="both"/>
              <w:rPr>
                <w:rFonts w:ascii="Lato" w:hAnsi="Lato"/>
              </w:rPr>
            </w:pPr>
          </w:p>
        </w:tc>
        <w:tc>
          <w:tcPr>
            <w:tcW w:w="433" w:type="dxa"/>
            <w:gridSpan w:val="2"/>
            <w:tcBorders>
              <w:top w:val="nil"/>
              <w:left w:val="nil"/>
              <w:bottom w:val="nil"/>
              <w:right w:val="nil"/>
            </w:tcBorders>
          </w:tcPr>
          <w:p w14:paraId="5922E509" w14:textId="77777777" w:rsidR="00DB7E1D" w:rsidRPr="004E6794" w:rsidRDefault="00DB7E1D"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2AB97019" w14:textId="31670B01" w:rsidR="00DB7E1D" w:rsidRPr="004E6794" w:rsidRDefault="00FF0201" w:rsidP="00BC0730">
            <w:pPr>
              <w:spacing w:line="240" w:lineRule="auto"/>
              <w:jc w:val="both"/>
              <w:rPr>
                <w:rFonts w:ascii="Lato" w:hAnsi="Lato"/>
              </w:rPr>
            </w:pPr>
            <w:r>
              <w:rPr>
                <w:rFonts w:ascii="Lato" w:hAnsi="Lato"/>
              </w:rPr>
              <w:t>Yes/No</w:t>
            </w:r>
          </w:p>
        </w:tc>
        <w:tc>
          <w:tcPr>
            <w:tcW w:w="366" w:type="dxa"/>
            <w:tcBorders>
              <w:top w:val="nil"/>
              <w:left w:val="nil"/>
              <w:bottom w:val="nil"/>
              <w:right w:val="nil"/>
            </w:tcBorders>
          </w:tcPr>
          <w:p w14:paraId="270E4327" w14:textId="77777777" w:rsidR="00DB7E1D" w:rsidRPr="004E6794" w:rsidRDefault="00DB7E1D" w:rsidP="00BC0730">
            <w:pPr>
              <w:spacing w:line="240" w:lineRule="auto"/>
              <w:jc w:val="both"/>
              <w:rPr>
                <w:rFonts w:ascii="Lato" w:hAnsi="Lato"/>
              </w:rPr>
            </w:pPr>
          </w:p>
        </w:tc>
        <w:tc>
          <w:tcPr>
            <w:tcW w:w="631" w:type="dxa"/>
            <w:gridSpan w:val="2"/>
            <w:tcBorders>
              <w:top w:val="nil"/>
              <w:left w:val="nil"/>
              <w:bottom w:val="nil"/>
              <w:right w:val="nil"/>
            </w:tcBorders>
          </w:tcPr>
          <w:p w14:paraId="6933015D" w14:textId="77777777" w:rsidR="00DB7E1D" w:rsidRPr="004E6794" w:rsidRDefault="00DB7E1D" w:rsidP="00BC0730">
            <w:pPr>
              <w:spacing w:line="240" w:lineRule="auto"/>
              <w:jc w:val="both"/>
              <w:rPr>
                <w:rFonts w:ascii="Lato" w:hAnsi="Lato"/>
              </w:rPr>
            </w:pPr>
          </w:p>
        </w:tc>
      </w:tr>
      <w:tr w:rsidR="00DB7E1D" w:rsidRPr="00226335" w14:paraId="72DFE09F" w14:textId="77777777" w:rsidTr="00BB6A7F">
        <w:tc>
          <w:tcPr>
            <w:tcW w:w="953" w:type="dxa"/>
            <w:gridSpan w:val="2"/>
            <w:tcBorders>
              <w:top w:val="nil"/>
              <w:left w:val="nil"/>
              <w:bottom w:val="nil"/>
              <w:right w:val="nil"/>
            </w:tcBorders>
          </w:tcPr>
          <w:p w14:paraId="40621B8F" w14:textId="0F1D4BA6" w:rsidR="00DB7E1D" w:rsidRPr="00BB6A7F" w:rsidRDefault="00F74987" w:rsidP="00BC0730">
            <w:pPr>
              <w:spacing w:line="240" w:lineRule="auto"/>
              <w:jc w:val="both"/>
              <w:rPr>
                <w:rFonts w:ascii="Lato" w:hAnsi="Lato"/>
              </w:rPr>
            </w:pPr>
            <w:r w:rsidRPr="00BB6A7F">
              <w:rPr>
                <w:rFonts w:ascii="Lato" w:hAnsi="Lato"/>
              </w:rPr>
              <w:t>2.7</w:t>
            </w:r>
          </w:p>
        </w:tc>
        <w:tc>
          <w:tcPr>
            <w:tcW w:w="5294" w:type="dxa"/>
            <w:gridSpan w:val="3"/>
            <w:tcBorders>
              <w:top w:val="nil"/>
              <w:left w:val="nil"/>
              <w:bottom w:val="nil"/>
              <w:right w:val="nil"/>
            </w:tcBorders>
          </w:tcPr>
          <w:p w14:paraId="0EC8216E" w14:textId="408F7C5F" w:rsidR="00DB7E1D" w:rsidRDefault="003E6066" w:rsidP="0030640C">
            <w:pPr>
              <w:spacing w:line="240" w:lineRule="auto"/>
              <w:rPr>
                <w:rFonts w:ascii="Lato" w:hAnsi="Lato"/>
              </w:rPr>
            </w:pPr>
            <w:r>
              <w:rPr>
                <w:rFonts w:ascii="Lato" w:hAnsi="Lato"/>
              </w:rPr>
              <w:t>Can the Money Market Fund use F</w:t>
            </w:r>
            <w:r w:rsidR="0037041D">
              <w:rPr>
                <w:rFonts w:ascii="Lato" w:hAnsi="Lato"/>
              </w:rPr>
              <w:t xml:space="preserve">inancial </w:t>
            </w:r>
          </w:p>
        </w:tc>
        <w:tc>
          <w:tcPr>
            <w:tcW w:w="819" w:type="dxa"/>
            <w:gridSpan w:val="2"/>
            <w:tcBorders>
              <w:top w:val="nil"/>
              <w:left w:val="nil"/>
              <w:bottom w:val="nil"/>
              <w:right w:val="nil"/>
            </w:tcBorders>
          </w:tcPr>
          <w:p w14:paraId="2EB742B1" w14:textId="77777777" w:rsidR="00DB7E1D" w:rsidRPr="004E6794" w:rsidRDefault="00DB7E1D" w:rsidP="00BC0730">
            <w:pPr>
              <w:spacing w:line="240" w:lineRule="auto"/>
              <w:jc w:val="both"/>
              <w:rPr>
                <w:rFonts w:ascii="Lato" w:hAnsi="Lato"/>
              </w:rPr>
            </w:pPr>
          </w:p>
        </w:tc>
        <w:tc>
          <w:tcPr>
            <w:tcW w:w="356" w:type="dxa"/>
            <w:gridSpan w:val="2"/>
            <w:tcBorders>
              <w:top w:val="nil"/>
              <w:left w:val="nil"/>
              <w:bottom w:val="nil"/>
              <w:right w:val="nil"/>
            </w:tcBorders>
          </w:tcPr>
          <w:p w14:paraId="47864FF3" w14:textId="77777777" w:rsidR="00DB7E1D" w:rsidRPr="004E6794" w:rsidRDefault="00DB7E1D" w:rsidP="00BC0730">
            <w:pPr>
              <w:spacing w:line="240" w:lineRule="auto"/>
              <w:jc w:val="both"/>
              <w:rPr>
                <w:rFonts w:ascii="Lato" w:hAnsi="Lato"/>
              </w:rPr>
            </w:pPr>
          </w:p>
        </w:tc>
        <w:tc>
          <w:tcPr>
            <w:tcW w:w="1361" w:type="dxa"/>
            <w:gridSpan w:val="2"/>
            <w:tcBorders>
              <w:top w:val="nil"/>
              <w:left w:val="nil"/>
              <w:bottom w:val="nil"/>
              <w:right w:val="nil"/>
            </w:tcBorders>
          </w:tcPr>
          <w:p w14:paraId="06B5FA58" w14:textId="77777777" w:rsidR="00DB7E1D" w:rsidRPr="004E6794" w:rsidRDefault="00DB7E1D" w:rsidP="00BC0730">
            <w:pPr>
              <w:spacing w:line="240" w:lineRule="auto"/>
              <w:jc w:val="both"/>
              <w:rPr>
                <w:rFonts w:ascii="Lato" w:hAnsi="Lato"/>
              </w:rPr>
            </w:pPr>
          </w:p>
        </w:tc>
        <w:tc>
          <w:tcPr>
            <w:tcW w:w="433" w:type="dxa"/>
            <w:gridSpan w:val="2"/>
            <w:tcBorders>
              <w:top w:val="nil"/>
              <w:left w:val="nil"/>
              <w:bottom w:val="nil"/>
              <w:right w:val="single" w:sz="4" w:space="0" w:color="auto"/>
            </w:tcBorders>
          </w:tcPr>
          <w:p w14:paraId="0E51A603" w14:textId="77777777" w:rsidR="00DB7E1D" w:rsidRPr="004E6794" w:rsidRDefault="00DB7E1D"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D5A82B9" w14:textId="77777777" w:rsidR="00DB7E1D" w:rsidRPr="004E6794" w:rsidRDefault="00DB7E1D" w:rsidP="00BC0730">
            <w:pPr>
              <w:spacing w:line="240" w:lineRule="auto"/>
              <w:jc w:val="both"/>
              <w:rPr>
                <w:rFonts w:ascii="Lato" w:hAnsi="Lato"/>
              </w:rPr>
            </w:pPr>
          </w:p>
        </w:tc>
        <w:tc>
          <w:tcPr>
            <w:tcW w:w="366" w:type="dxa"/>
            <w:tcBorders>
              <w:top w:val="nil"/>
              <w:left w:val="single" w:sz="4" w:space="0" w:color="auto"/>
              <w:bottom w:val="nil"/>
              <w:right w:val="nil"/>
            </w:tcBorders>
          </w:tcPr>
          <w:p w14:paraId="4455F7E8" w14:textId="77777777" w:rsidR="00DB7E1D" w:rsidRPr="004E6794" w:rsidRDefault="00DB7E1D" w:rsidP="00BC0730">
            <w:pPr>
              <w:spacing w:line="240" w:lineRule="auto"/>
              <w:jc w:val="both"/>
              <w:rPr>
                <w:rFonts w:ascii="Lato" w:hAnsi="Lato"/>
              </w:rPr>
            </w:pPr>
          </w:p>
        </w:tc>
        <w:tc>
          <w:tcPr>
            <w:tcW w:w="631" w:type="dxa"/>
            <w:gridSpan w:val="2"/>
            <w:tcBorders>
              <w:top w:val="nil"/>
              <w:left w:val="nil"/>
              <w:bottom w:val="nil"/>
              <w:right w:val="nil"/>
            </w:tcBorders>
          </w:tcPr>
          <w:p w14:paraId="31144D22" w14:textId="77777777" w:rsidR="00DB7E1D" w:rsidRPr="004E6794" w:rsidRDefault="00DB7E1D" w:rsidP="00BC0730">
            <w:pPr>
              <w:spacing w:line="240" w:lineRule="auto"/>
              <w:jc w:val="both"/>
              <w:rPr>
                <w:rFonts w:ascii="Lato" w:hAnsi="Lato"/>
              </w:rPr>
            </w:pPr>
          </w:p>
        </w:tc>
      </w:tr>
      <w:tr w:rsidR="0037041D" w:rsidRPr="00226335" w14:paraId="50E56EF0" w14:textId="77777777" w:rsidTr="00BB6A7F">
        <w:tc>
          <w:tcPr>
            <w:tcW w:w="953" w:type="dxa"/>
            <w:gridSpan w:val="2"/>
            <w:tcBorders>
              <w:top w:val="nil"/>
              <w:left w:val="nil"/>
              <w:bottom w:val="nil"/>
              <w:right w:val="nil"/>
            </w:tcBorders>
          </w:tcPr>
          <w:p w14:paraId="6EB184DE" w14:textId="77777777" w:rsidR="0037041D" w:rsidRPr="00BB6A7F" w:rsidRDefault="0037041D" w:rsidP="00BC0730">
            <w:pPr>
              <w:spacing w:line="240" w:lineRule="auto"/>
              <w:jc w:val="both"/>
              <w:rPr>
                <w:rFonts w:ascii="Lato" w:hAnsi="Lato"/>
              </w:rPr>
            </w:pPr>
          </w:p>
        </w:tc>
        <w:tc>
          <w:tcPr>
            <w:tcW w:w="5294" w:type="dxa"/>
            <w:gridSpan w:val="3"/>
            <w:tcBorders>
              <w:top w:val="nil"/>
              <w:left w:val="nil"/>
              <w:bottom w:val="nil"/>
              <w:right w:val="nil"/>
            </w:tcBorders>
          </w:tcPr>
          <w:p w14:paraId="2B4335B5" w14:textId="2BC9FDF4" w:rsidR="0037041D" w:rsidRDefault="0030640C" w:rsidP="00BC0730">
            <w:pPr>
              <w:spacing w:line="240" w:lineRule="auto"/>
              <w:rPr>
                <w:rFonts w:ascii="Lato" w:hAnsi="Lato"/>
              </w:rPr>
            </w:pPr>
            <w:r>
              <w:rPr>
                <w:rFonts w:ascii="Lato" w:hAnsi="Lato"/>
              </w:rPr>
              <w:t xml:space="preserve">Derivative </w:t>
            </w:r>
            <w:r w:rsidR="0037041D">
              <w:rPr>
                <w:rFonts w:ascii="Lato" w:hAnsi="Lato"/>
              </w:rPr>
              <w:t>Instruments (“FDI”)?</w:t>
            </w:r>
          </w:p>
        </w:tc>
        <w:tc>
          <w:tcPr>
            <w:tcW w:w="819" w:type="dxa"/>
            <w:gridSpan w:val="2"/>
            <w:tcBorders>
              <w:top w:val="nil"/>
              <w:left w:val="nil"/>
              <w:bottom w:val="nil"/>
              <w:right w:val="nil"/>
            </w:tcBorders>
          </w:tcPr>
          <w:p w14:paraId="4C701A60" w14:textId="77777777" w:rsidR="0037041D" w:rsidRPr="004E6794" w:rsidRDefault="0037041D" w:rsidP="00BC0730">
            <w:pPr>
              <w:spacing w:line="240" w:lineRule="auto"/>
              <w:jc w:val="both"/>
              <w:rPr>
                <w:rFonts w:ascii="Lato" w:hAnsi="Lato"/>
              </w:rPr>
            </w:pPr>
          </w:p>
        </w:tc>
        <w:tc>
          <w:tcPr>
            <w:tcW w:w="356" w:type="dxa"/>
            <w:gridSpan w:val="2"/>
            <w:tcBorders>
              <w:top w:val="nil"/>
              <w:left w:val="nil"/>
              <w:bottom w:val="nil"/>
              <w:right w:val="nil"/>
            </w:tcBorders>
          </w:tcPr>
          <w:p w14:paraId="03B0A281" w14:textId="77777777" w:rsidR="0037041D" w:rsidRPr="004E6794" w:rsidRDefault="0037041D" w:rsidP="00BC0730">
            <w:pPr>
              <w:spacing w:line="240" w:lineRule="auto"/>
              <w:jc w:val="both"/>
              <w:rPr>
                <w:rFonts w:ascii="Lato" w:hAnsi="Lato"/>
              </w:rPr>
            </w:pPr>
          </w:p>
        </w:tc>
        <w:tc>
          <w:tcPr>
            <w:tcW w:w="1361" w:type="dxa"/>
            <w:gridSpan w:val="2"/>
            <w:tcBorders>
              <w:top w:val="nil"/>
              <w:left w:val="nil"/>
              <w:bottom w:val="nil"/>
              <w:right w:val="nil"/>
            </w:tcBorders>
          </w:tcPr>
          <w:p w14:paraId="2A56E93C" w14:textId="77777777" w:rsidR="0037041D" w:rsidRPr="004E6794" w:rsidRDefault="0037041D" w:rsidP="00BC0730">
            <w:pPr>
              <w:spacing w:line="240" w:lineRule="auto"/>
              <w:jc w:val="both"/>
              <w:rPr>
                <w:rFonts w:ascii="Lato" w:hAnsi="Lato"/>
              </w:rPr>
            </w:pPr>
          </w:p>
        </w:tc>
        <w:tc>
          <w:tcPr>
            <w:tcW w:w="433" w:type="dxa"/>
            <w:gridSpan w:val="2"/>
            <w:tcBorders>
              <w:top w:val="nil"/>
              <w:left w:val="nil"/>
              <w:bottom w:val="nil"/>
              <w:right w:val="nil"/>
            </w:tcBorders>
          </w:tcPr>
          <w:p w14:paraId="633E6961" w14:textId="77777777" w:rsidR="0037041D" w:rsidRPr="004E6794" w:rsidRDefault="0037041D"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6C5D8C1F" w14:textId="77777777" w:rsidR="0037041D" w:rsidRPr="004E6794" w:rsidRDefault="0037041D" w:rsidP="00BC0730">
            <w:pPr>
              <w:spacing w:line="240" w:lineRule="auto"/>
              <w:jc w:val="both"/>
              <w:rPr>
                <w:rFonts w:ascii="Lato" w:hAnsi="Lato"/>
              </w:rPr>
            </w:pPr>
          </w:p>
        </w:tc>
        <w:tc>
          <w:tcPr>
            <w:tcW w:w="366" w:type="dxa"/>
            <w:tcBorders>
              <w:top w:val="nil"/>
              <w:left w:val="nil"/>
              <w:bottom w:val="nil"/>
              <w:right w:val="nil"/>
            </w:tcBorders>
          </w:tcPr>
          <w:p w14:paraId="5BD571F4" w14:textId="77777777" w:rsidR="0037041D" w:rsidRPr="004E6794" w:rsidRDefault="0037041D" w:rsidP="00BC0730">
            <w:pPr>
              <w:spacing w:line="240" w:lineRule="auto"/>
              <w:jc w:val="both"/>
              <w:rPr>
                <w:rFonts w:ascii="Lato" w:hAnsi="Lato"/>
              </w:rPr>
            </w:pPr>
          </w:p>
        </w:tc>
        <w:tc>
          <w:tcPr>
            <w:tcW w:w="631" w:type="dxa"/>
            <w:gridSpan w:val="2"/>
            <w:tcBorders>
              <w:top w:val="nil"/>
              <w:left w:val="nil"/>
              <w:bottom w:val="nil"/>
              <w:right w:val="nil"/>
            </w:tcBorders>
          </w:tcPr>
          <w:p w14:paraId="26817EAD" w14:textId="77777777" w:rsidR="0037041D" w:rsidRPr="004E6794" w:rsidRDefault="0037041D" w:rsidP="00BC0730">
            <w:pPr>
              <w:spacing w:line="240" w:lineRule="auto"/>
              <w:jc w:val="both"/>
              <w:rPr>
                <w:rFonts w:ascii="Lato" w:hAnsi="Lato"/>
              </w:rPr>
            </w:pPr>
          </w:p>
        </w:tc>
      </w:tr>
      <w:tr w:rsidR="003E6066" w:rsidRPr="00226335" w14:paraId="5D75985B" w14:textId="77777777" w:rsidTr="00BB6A7F">
        <w:tc>
          <w:tcPr>
            <w:tcW w:w="953" w:type="dxa"/>
            <w:gridSpan w:val="2"/>
            <w:tcBorders>
              <w:top w:val="nil"/>
              <w:left w:val="nil"/>
              <w:bottom w:val="nil"/>
              <w:right w:val="nil"/>
            </w:tcBorders>
          </w:tcPr>
          <w:p w14:paraId="7418B66F" w14:textId="77777777" w:rsidR="003E6066" w:rsidRPr="0032593F" w:rsidRDefault="003E6066" w:rsidP="00BC0730">
            <w:pPr>
              <w:spacing w:line="240" w:lineRule="auto"/>
              <w:jc w:val="both"/>
              <w:rPr>
                <w:rFonts w:ascii="Lato" w:hAnsi="Lato"/>
              </w:rPr>
            </w:pPr>
          </w:p>
        </w:tc>
        <w:tc>
          <w:tcPr>
            <w:tcW w:w="5294" w:type="dxa"/>
            <w:gridSpan w:val="3"/>
            <w:tcBorders>
              <w:top w:val="nil"/>
              <w:left w:val="nil"/>
              <w:bottom w:val="nil"/>
              <w:right w:val="nil"/>
            </w:tcBorders>
          </w:tcPr>
          <w:p w14:paraId="731BA699" w14:textId="69CAB6BF" w:rsidR="003E6066" w:rsidRDefault="003E6066" w:rsidP="00BC0730">
            <w:pPr>
              <w:spacing w:line="240" w:lineRule="auto"/>
              <w:rPr>
                <w:rFonts w:ascii="Lato" w:hAnsi="Lato"/>
              </w:rPr>
            </w:pPr>
            <w:r>
              <w:rPr>
                <w:rFonts w:ascii="Lato" w:hAnsi="Lato"/>
              </w:rPr>
              <w:t>If yes, disclose that:</w:t>
            </w:r>
          </w:p>
        </w:tc>
        <w:tc>
          <w:tcPr>
            <w:tcW w:w="819" w:type="dxa"/>
            <w:gridSpan w:val="2"/>
            <w:tcBorders>
              <w:top w:val="nil"/>
              <w:left w:val="nil"/>
              <w:bottom w:val="nil"/>
              <w:right w:val="nil"/>
            </w:tcBorders>
          </w:tcPr>
          <w:p w14:paraId="06D3398A" w14:textId="77777777" w:rsidR="003E6066" w:rsidRPr="004E6794" w:rsidRDefault="003E6066" w:rsidP="00BC0730">
            <w:pPr>
              <w:spacing w:line="240" w:lineRule="auto"/>
              <w:jc w:val="both"/>
              <w:rPr>
                <w:rFonts w:ascii="Lato" w:hAnsi="Lato"/>
              </w:rPr>
            </w:pPr>
          </w:p>
        </w:tc>
        <w:tc>
          <w:tcPr>
            <w:tcW w:w="356" w:type="dxa"/>
            <w:gridSpan w:val="2"/>
            <w:tcBorders>
              <w:top w:val="nil"/>
              <w:left w:val="nil"/>
              <w:bottom w:val="nil"/>
              <w:right w:val="nil"/>
            </w:tcBorders>
          </w:tcPr>
          <w:p w14:paraId="705323A5" w14:textId="77777777" w:rsidR="003E6066" w:rsidRPr="004E6794" w:rsidRDefault="003E6066" w:rsidP="00BC0730">
            <w:pPr>
              <w:spacing w:line="240" w:lineRule="auto"/>
              <w:jc w:val="both"/>
              <w:rPr>
                <w:rFonts w:ascii="Lato" w:hAnsi="Lato"/>
              </w:rPr>
            </w:pPr>
          </w:p>
        </w:tc>
        <w:tc>
          <w:tcPr>
            <w:tcW w:w="1361" w:type="dxa"/>
            <w:gridSpan w:val="2"/>
            <w:tcBorders>
              <w:top w:val="nil"/>
              <w:left w:val="nil"/>
              <w:bottom w:val="nil"/>
              <w:right w:val="nil"/>
            </w:tcBorders>
          </w:tcPr>
          <w:p w14:paraId="408B59D7" w14:textId="77777777" w:rsidR="003E6066" w:rsidRPr="004E6794" w:rsidRDefault="003E6066" w:rsidP="00BC0730">
            <w:pPr>
              <w:spacing w:line="240" w:lineRule="auto"/>
              <w:jc w:val="both"/>
              <w:rPr>
                <w:rFonts w:ascii="Lato" w:hAnsi="Lato"/>
              </w:rPr>
            </w:pPr>
          </w:p>
        </w:tc>
        <w:tc>
          <w:tcPr>
            <w:tcW w:w="433" w:type="dxa"/>
            <w:gridSpan w:val="2"/>
            <w:tcBorders>
              <w:top w:val="nil"/>
              <w:left w:val="nil"/>
              <w:bottom w:val="nil"/>
              <w:right w:val="nil"/>
            </w:tcBorders>
          </w:tcPr>
          <w:p w14:paraId="3D027256" w14:textId="77777777" w:rsidR="003E6066" w:rsidRPr="004E6794" w:rsidRDefault="003E6066" w:rsidP="00BC0730">
            <w:pPr>
              <w:spacing w:line="240" w:lineRule="auto"/>
              <w:jc w:val="both"/>
              <w:rPr>
                <w:rFonts w:ascii="Lato" w:hAnsi="Lato"/>
              </w:rPr>
            </w:pPr>
          </w:p>
        </w:tc>
        <w:tc>
          <w:tcPr>
            <w:tcW w:w="936" w:type="dxa"/>
            <w:gridSpan w:val="3"/>
            <w:tcBorders>
              <w:top w:val="nil"/>
              <w:left w:val="nil"/>
              <w:bottom w:val="nil"/>
              <w:right w:val="nil"/>
            </w:tcBorders>
          </w:tcPr>
          <w:p w14:paraId="21E90FEE" w14:textId="77777777" w:rsidR="003E6066" w:rsidRPr="004E6794" w:rsidRDefault="003E6066" w:rsidP="00BC0730">
            <w:pPr>
              <w:spacing w:line="240" w:lineRule="auto"/>
              <w:jc w:val="both"/>
              <w:rPr>
                <w:rFonts w:ascii="Lato" w:hAnsi="Lato"/>
              </w:rPr>
            </w:pPr>
          </w:p>
        </w:tc>
        <w:tc>
          <w:tcPr>
            <w:tcW w:w="366" w:type="dxa"/>
            <w:tcBorders>
              <w:top w:val="nil"/>
              <w:left w:val="nil"/>
              <w:bottom w:val="nil"/>
              <w:right w:val="nil"/>
            </w:tcBorders>
          </w:tcPr>
          <w:p w14:paraId="0514EA44" w14:textId="77777777" w:rsidR="003E6066" w:rsidRPr="004E6794" w:rsidRDefault="003E6066" w:rsidP="00BC0730">
            <w:pPr>
              <w:spacing w:line="240" w:lineRule="auto"/>
              <w:jc w:val="both"/>
              <w:rPr>
                <w:rFonts w:ascii="Lato" w:hAnsi="Lato"/>
              </w:rPr>
            </w:pPr>
          </w:p>
        </w:tc>
        <w:tc>
          <w:tcPr>
            <w:tcW w:w="631" w:type="dxa"/>
            <w:gridSpan w:val="2"/>
            <w:tcBorders>
              <w:top w:val="nil"/>
              <w:left w:val="nil"/>
              <w:bottom w:val="nil"/>
              <w:right w:val="nil"/>
            </w:tcBorders>
          </w:tcPr>
          <w:p w14:paraId="0E6BED27" w14:textId="77777777" w:rsidR="003E6066" w:rsidRPr="004E6794" w:rsidRDefault="003E6066" w:rsidP="00BC0730">
            <w:pPr>
              <w:spacing w:line="240" w:lineRule="auto"/>
              <w:jc w:val="both"/>
              <w:rPr>
                <w:rFonts w:ascii="Lato" w:hAnsi="Lato"/>
              </w:rPr>
            </w:pPr>
          </w:p>
        </w:tc>
      </w:tr>
      <w:tr w:rsidR="003B1E55" w:rsidRPr="00226335" w14:paraId="2130B3FE" w14:textId="77777777" w:rsidTr="003B1E55">
        <w:tc>
          <w:tcPr>
            <w:tcW w:w="953" w:type="dxa"/>
            <w:gridSpan w:val="2"/>
            <w:tcBorders>
              <w:top w:val="nil"/>
              <w:left w:val="nil"/>
              <w:bottom w:val="nil"/>
              <w:right w:val="nil"/>
            </w:tcBorders>
          </w:tcPr>
          <w:p w14:paraId="25FE177D" w14:textId="77777777" w:rsidR="003E6066" w:rsidRPr="0032593F" w:rsidRDefault="003E6066" w:rsidP="00BC0730">
            <w:pPr>
              <w:spacing w:line="240" w:lineRule="auto"/>
              <w:jc w:val="both"/>
              <w:rPr>
                <w:rFonts w:ascii="Lato" w:hAnsi="Lato"/>
              </w:rPr>
            </w:pPr>
          </w:p>
        </w:tc>
        <w:tc>
          <w:tcPr>
            <w:tcW w:w="5294" w:type="dxa"/>
            <w:gridSpan w:val="3"/>
            <w:tcBorders>
              <w:top w:val="nil"/>
              <w:left w:val="nil"/>
              <w:bottom w:val="nil"/>
              <w:right w:val="nil"/>
            </w:tcBorders>
          </w:tcPr>
          <w:p w14:paraId="1FD7E563" w14:textId="3822A92B" w:rsidR="003E6066" w:rsidRPr="007B13FE" w:rsidRDefault="003E6066" w:rsidP="007B13FE">
            <w:pPr>
              <w:pStyle w:val="ListParagraph"/>
              <w:numPr>
                <w:ilvl w:val="0"/>
                <w:numId w:val="85"/>
              </w:numPr>
              <w:spacing w:line="240" w:lineRule="auto"/>
              <w:rPr>
                <w:rFonts w:ascii="Lato" w:hAnsi="Lato"/>
              </w:rPr>
            </w:pPr>
            <w:r>
              <w:rPr>
                <w:rFonts w:ascii="Lato" w:hAnsi="Lato"/>
              </w:rPr>
              <w:t xml:space="preserve">the </w:t>
            </w:r>
            <w:r w:rsidRPr="003E6066">
              <w:rPr>
                <w:rFonts w:ascii="Lato" w:hAnsi="Lato"/>
              </w:rPr>
              <w:t xml:space="preserve">underlying of the </w:t>
            </w:r>
            <w:r w:rsidR="0089118B">
              <w:rPr>
                <w:rFonts w:ascii="Lato" w:hAnsi="Lato"/>
              </w:rPr>
              <w:t>FDI</w:t>
            </w:r>
            <w:r w:rsidRPr="003E6066">
              <w:rPr>
                <w:rFonts w:ascii="Lato" w:hAnsi="Lato"/>
              </w:rPr>
              <w:t xml:space="preserve"> consists of</w:t>
            </w:r>
            <w:r w:rsidR="00634580">
              <w:rPr>
                <w:rFonts w:ascii="Lato" w:hAnsi="Lato"/>
              </w:rPr>
              <w:t>:</w:t>
            </w:r>
            <w:r w:rsidRPr="003E6066">
              <w:rPr>
                <w:rFonts w:ascii="Lato" w:hAnsi="Lato"/>
              </w:rPr>
              <w:t xml:space="preserve"> </w:t>
            </w:r>
          </w:p>
        </w:tc>
        <w:tc>
          <w:tcPr>
            <w:tcW w:w="819" w:type="dxa"/>
            <w:gridSpan w:val="2"/>
            <w:tcBorders>
              <w:top w:val="nil"/>
              <w:left w:val="nil"/>
              <w:bottom w:val="single" w:sz="4" w:space="0" w:color="auto"/>
              <w:right w:val="nil"/>
            </w:tcBorders>
          </w:tcPr>
          <w:p w14:paraId="3887CBAD" w14:textId="77777777" w:rsidR="003E6066" w:rsidRPr="004E6794" w:rsidRDefault="003E6066" w:rsidP="00BC0730">
            <w:pPr>
              <w:spacing w:line="240" w:lineRule="auto"/>
              <w:jc w:val="both"/>
              <w:rPr>
                <w:rFonts w:ascii="Lato" w:hAnsi="Lato"/>
              </w:rPr>
            </w:pPr>
          </w:p>
        </w:tc>
        <w:tc>
          <w:tcPr>
            <w:tcW w:w="356" w:type="dxa"/>
            <w:gridSpan w:val="2"/>
            <w:tcBorders>
              <w:top w:val="nil"/>
              <w:left w:val="nil"/>
              <w:bottom w:val="nil"/>
              <w:right w:val="nil"/>
            </w:tcBorders>
          </w:tcPr>
          <w:p w14:paraId="4C9D74FA" w14:textId="77777777" w:rsidR="003E6066" w:rsidRPr="004E6794" w:rsidRDefault="003E6066"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4F9D7F73" w14:textId="77777777" w:rsidR="003E6066" w:rsidRPr="004E6794" w:rsidRDefault="003E6066" w:rsidP="00BC0730">
            <w:pPr>
              <w:spacing w:line="240" w:lineRule="auto"/>
              <w:jc w:val="both"/>
              <w:rPr>
                <w:rFonts w:ascii="Lato" w:hAnsi="Lato"/>
              </w:rPr>
            </w:pPr>
          </w:p>
        </w:tc>
        <w:tc>
          <w:tcPr>
            <w:tcW w:w="433" w:type="dxa"/>
            <w:gridSpan w:val="2"/>
            <w:tcBorders>
              <w:top w:val="nil"/>
              <w:left w:val="nil"/>
              <w:bottom w:val="nil"/>
              <w:right w:val="nil"/>
            </w:tcBorders>
          </w:tcPr>
          <w:p w14:paraId="682F3671" w14:textId="77777777" w:rsidR="003E6066" w:rsidRPr="004E6794" w:rsidRDefault="003E6066"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76487AD1" w14:textId="77777777" w:rsidR="003E6066" w:rsidRPr="004E6794" w:rsidRDefault="003E6066" w:rsidP="00BC0730">
            <w:pPr>
              <w:spacing w:line="240" w:lineRule="auto"/>
              <w:jc w:val="both"/>
              <w:rPr>
                <w:rFonts w:ascii="Lato" w:hAnsi="Lato"/>
              </w:rPr>
            </w:pPr>
          </w:p>
        </w:tc>
        <w:tc>
          <w:tcPr>
            <w:tcW w:w="366" w:type="dxa"/>
            <w:tcBorders>
              <w:top w:val="nil"/>
              <w:left w:val="nil"/>
              <w:bottom w:val="nil"/>
              <w:right w:val="nil"/>
            </w:tcBorders>
          </w:tcPr>
          <w:p w14:paraId="559CA819" w14:textId="77777777" w:rsidR="003E6066" w:rsidRPr="004E6794" w:rsidRDefault="003E6066" w:rsidP="00BC0730">
            <w:pPr>
              <w:spacing w:line="240" w:lineRule="auto"/>
              <w:jc w:val="both"/>
              <w:rPr>
                <w:rFonts w:ascii="Lato" w:hAnsi="Lato"/>
              </w:rPr>
            </w:pPr>
          </w:p>
        </w:tc>
        <w:tc>
          <w:tcPr>
            <w:tcW w:w="631" w:type="dxa"/>
            <w:gridSpan w:val="2"/>
            <w:tcBorders>
              <w:top w:val="nil"/>
              <w:left w:val="nil"/>
              <w:bottom w:val="nil"/>
              <w:right w:val="nil"/>
            </w:tcBorders>
          </w:tcPr>
          <w:p w14:paraId="75E9B0CE" w14:textId="77777777" w:rsidR="003E6066" w:rsidRPr="004E6794" w:rsidRDefault="003E6066" w:rsidP="00BC0730">
            <w:pPr>
              <w:spacing w:line="240" w:lineRule="auto"/>
              <w:jc w:val="both"/>
              <w:rPr>
                <w:rFonts w:ascii="Lato" w:hAnsi="Lato"/>
              </w:rPr>
            </w:pPr>
          </w:p>
        </w:tc>
      </w:tr>
      <w:tr w:rsidR="00634580" w:rsidRPr="00226335" w14:paraId="4E325174" w14:textId="77777777" w:rsidTr="00BB6A7F">
        <w:tc>
          <w:tcPr>
            <w:tcW w:w="953" w:type="dxa"/>
            <w:gridSpan w:val="2"/>
            <w:tcBorders>
              <w:top w:val="nil"/>
              <w:left w:val="nil"/>
              <w:bottom w:val="nil"/>
              <w:right w:val="nil"/>
            </w:tcBorders>
          </w:tcPr>
          <w:p w14:paraId="1E416E8D" w14:textId="77777777" w:rsidR="00634580" w:rsidRPr="0032593F" w:rsidRDefault="00634580"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4F3ADAA8" w14:textId="2721DEAA" w:rsidR="00634580" w:rsidRDefault="00634580" w:rsidP="007B13FE">
            <w:pPr>
              <w:pStyle w:val="ListParagraph"/>
              <w:numPr>
                <w:ilvl w:val="0"/>
                <w:numId w:val="87"/>
              </w:numPr>
              <w:spacing w:line="240" w:lineRule="auto"/>
              <w:rPr>
                <w:rFonts w:ascii="Lato" w:hAnsi="Lato"/>
              </w:rPr>
            </w:pPr>
            <w:r w:rsidRPr="00BB42AD">
              <w:rPr>
                <w:rFonts w:ascii="Lato" w:hAnsi="Lato"/>
              </w:rPr>
              <w:t>interest rates,</w:t>
            </w:r>
          </w:p>
        </w:tc>
        <w:tc>
          <w:tcPr>
            <w:tcW w:w="819" w:type="dxa"/>
            <w:gridSpan w:val="2"/>
            <w:tcBorders>
              <w:top w:val="single" w:sz="4" w:space="0" w:color="auto"/>
              <w:left w:val="single" w:sz="4" w:space="0" w:color="auto"/>
              <w:bottom w:val="single" w:sz="4" w:space="0" w:color="auto"/>
              <w:right w:val="single" w:sz="4" w:space="0" w:color="auto"/>
            </w:tcBorders>
          </w:tcPr>
          <w:p w14:paraId="1FE34B28" w14:textId="77777777" w:rsidR="00634580" w:rsidRPr="004E6794" w:rsidRDefault="0063458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6DC6F520" w14:textId="77777777" w:rsidR="00634580" w:rsidRPr="004E6794" w:rsidRDefault="0063458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4B6C44A" w14:textId="77777777" w:rsidR="00634580" w:rsidRPr="004E6794" w:rsidRDefault="0063458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72950181" w14:textId="77777777" w:rsidR="00634580" w:rsidRPr="004E6794" w:rsidRDefault="0063458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59679BA9" w14:textId="77777777" w:rsidR="00634580" w:rsidRPr="004E6794" w:rsidRDefault="00634580" w:rsidP="00BC0730">
            <w:pPr>
              <w:spacing w:line="240" w:lineRule="auto"/>
              <w:jc w:val="both"/>
              <w:rPr>
                <w:rFonts w:ascii="Lato" w:hAnsi="Lato"/>
              </w:rPr>
            </w:pPr>
          </w:p>
        </w:tc>
        <w:tc>
          <w:tcPr>
            <w:tcW w:w="366" w:type="dxa"/>
            <w:tcBorders>
              <w:top w:val="nil"/>
              <w:left w:val="single" w:sz="4" w:space="0" w:color="auto"/>
              <w:bottom w:val="nil"/>
              <w:right w:val="nil"/>
            </w:tcBorders>
          </w:tcPr>
          <w:p w14:paraId="76CB8E83" w14:textId="77777777" w:rsidR="00634580" w:rsidRPr="004E6794" w:rsidRDefault="00634580" w:rsidP="00BC0730">
            <w:pPr>
              <w:spacing w:line="240" w:lineRule="auto"/>
              <w:jc w:val="both"/>
              <w:rPr>
                <w:rFonts w:ascii="Lato" w:hAnsi="Lato"/>
              </w:rPr>
            </w:pPr>
          </w:p>
        </w:tc>
        <w:tc>
          <w:tcPr>
            <w:tcW w:w="631" w:type="dxa"/>
            <w:gridSpan w:val="2"/>
            <w:tcBorders>
              <w:top w:val="nil"/>
              <w:left w:val="nil"/>
              <w:bottom w:val="nil"/>
              <w:right w:val="nil"/>
            </w:tcBorders>
          </w:tcPr>
          <w:p w14:paraId="7A273BE9" w14:textId="77777777" w:rsidR="00634580" w:rsidRPr="004E6794" w:rsidRDefault="00634580" w:rsidP="00BC0730">
            <w:pPr>
              <w:spacing w:line="240" w:lineRule="auto"/>
              <w:jc w:val="both"/>
              <w:rPr>
                <w:rFonts w:ascii="Lato" w:hAnsi="Lato"/>
              </w:rPr>
            </w:pPr>
          </w:p>
        </w:tc>
      </w:tr>
      <w:tr w:rsidR="00F74987" w:rsidRPr="00226335" w14:paraId="74B32B1A" w14:textId="77777777" w:rsidTr="00BB6A7F">
        <w:tc>
          <w:tcPr>
            <w:tcW w:w="953" w:type="dxa"/>
            <w:gridSpan w:val="2"/>
            <w:tcBorders>
              <w:top w:val="nil"/>
              <w:left w:val="nil"/>
              <w:bottom w:val="nil"/>
              <w:right w:val="nil"/>
            </w:tcBorders>
          </w:tcPr>
          <w:p w14:paraId="2E054B06" w14:textId="77777777" w:rsidR="00F74987" w:rsidRPr="0032593F" w:rsidRDefault="00F74987"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1C1BEC10" w14:textId="63EEBF19" w:rsidR="00F74987" w:rsidRPr="007B13FE" w:rsidRDefault="00F74987" w:rsidP="007B13FE">
            <w:pPr>
              <w:pStyle w:val="ListParagraph"/>
              <w:numPr>
                <w:ilvl w:val="0"/>
                <w:numId w:val="87"/>
              </w:numPr>
              <w:spacing w:line="240" w:lineRule="auto"/>
              <w:rPr>
                <w:rFonts w:ascii="Lato" w:hAnsi="Lato"/>
              </w:rPr>
            </w:pPr>
            <w:r w:rsidRPr="007B13FE">
              <w:rPr>
                <w:rFonts w:ascii="Lato" w:hAnsi="Lato"/>
              </w:rPr>
              <w:t>foreign exchange rates</w:t>
            </w:r>
            <w:r w:rsidR="00634580" w:rsidRPr="007B13FE">
              <w:rPr>
                <w:rFonts w:ascii="Lato" w:hAnsi="Lato"/>
              </w:rPr>
              <w:t>,</w:t>
            </w:r>
          </w:p>
        </w:tc>
        <w:tc>
          <w:tcPr>
            <w:tcW w:w="819" w:type="dxa"/>
            <w:gridSpan w:val="2"/>
            <w:tcBorders>
              <w:top w:val="single" w:sz="4" w:space="0" w:color="auto"/>
              <w:left w:val="single" w:sz="4" w:space="0" w:color="auto"/>
              <w:bottom w:val="single" w:sz="4" w:space="0" w:color="auto"/>
              <w:right w:val="single" w:sz="4" w:space="0" w:color="auto"/>
            </w:tcBorders>
          </w:tcPr>
          <w:p w14:paraId="763BF534" w14:textId="77777777" w:rsidR="00F74987" w:rsidRPr="004E6794" w:rsidRDefault="00F74987"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753AD275" w14:textId="77777777" w:rsidR="00F74987" w:rsidRPr="004E6794" w:rsidRDefault="00F74987"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6CA8DB65" w14:textId="77777777" w:rsidR="00F74987" w:rsidRPr="004E6794" w:rsidRDefault="00F74987"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4F5AC80" w14:textId="77777777" w:rsidR="00F74987" w:rsidRPr="004E6794" w:rsidRDefault="00F74987"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FE7793F" w14:textId="77777777" w:rsidR="00F74987" w:rsidRPr="004E6794" w:rsidRDefault="00F74987" w:rsidP="00BC0730">
            <w:pPr>
              <w:spacing w:line="240" w:lineRule="auto"/>
              <w:jc w:val="both"/>
              <w:rPr>
                <w:rFonts w:ascii="Lato" w:hAnsi="Lato"/>
              </w:rPr>
            </w:pPr>
          </w:p>
        </w:tc>
        <w:tc>
          <w:tcPr>
            <w:tcW w:w="366" w:type="dxa"/>
            <w:tcBorders>
              <w:top w:val="nil"/>
              <w:left w:val="single" w:sz="4" w:space="0" w:color="auto"/>
              <w:bottom w:val="nil"/>
              <w:right w:val="nil"/>
            </w:tcBorders>
          </w:tcPr>
          <w:p w14:paraId="6E23626A" w14:textId="77777777" w:rsidR="00F74987" w:rsidRPr="004E6794" w:rsidRDefault="00F74987" w:rsidP="00BC0730">
            <w:pPr>
              <w:spacing w:line="240" w:lineRule="auto"/>
              <w:jc w:val="both"/>
              <w:rPr>
                <w:rFonts w:ascii="Lato" w:hAnsi="Lato"/>
              </w:rPr>
            </w:pPr>
          </w:p>
        </w:tc>
        <w:tc>
          <w:tcPr>
            <w:tcW w:w="631" w:type="dxa"/>
            <w:gridSpan w:val="2"/>
            <w:tcBorders>
              <w:top w:val="nil"/>
              <w:left w:val="nil"/>
              <w:bottom w:val="nil"/>
              <w:right w:val="nil"/>
            </w:tcBorders>
          </w:tcPr>
          <w:p w14:paraId="5E837883" w14:textId="77777777" w:rsidR="00F74987" w:rsidRPr="004E6794" w:rsidRDefault="00F74987" w:rsidP="00BC0730">
            <w:pPr>
              <w:spacing w:line="240" w:lineRule="auto"/>
              <w:jc w:val="both"/>
              <w:rPr>
                <w:rFonts w:ascii="Lato" w:hAnsi="Lato"/>
              </w:rPr>
            </w:pPr>
          </w:p>
        </w:tc>
      </w:tr>
      <w:tr w:rsidR="00F74987" w:rsidRPr="00226335" w14:paraId="6E91898D" w14:textId="77777777" w:rsidTr="00BB6A7F">
        <w:tc>
          <w:tcPr>
            <w:tcW w:w="953" w:type="dxa"/>
            <w:gridSpan w:val="2"/>
            <w:tcBorders>
              <w:top w:val="nil"/>
              <w:left w:val="nil"/>
              <w:bottom w:val="nil"/>
              <w:right w:val="nil"/>
            </w:tcBorders>
          </w:tcPr>
          <w:p w14:paraId="7FBE23CE" w14:textId="77777777" w:rsidR="00F74987" w:rsidRPr="0032593F" w:rsidRDefault="00F74987"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3C707FDC" w14:textId="5BA32AAB" w:rsidR="00F74987" w:rsidRDefault="00F74987" w:rsidP="007B13FE">
            <w:pPr>
              <w:pStyle w:val="ListParagraph"/>
              <w:numPr>
                <w:ilvl w:val="0"/>
                <w:numId w:val="87"/>
              </w:numPr>
              <w:spacing w:line="240" w:lineRule="auto"/>
              <w:rPr>
                <w:rFonts w:ascii="Lato" w:hAnsi="Lato"/>
              </w:rPr>
            </w:pPr>
            <w:r w:rsidRPr="003E6066">
              <w:rPr>
                <w:rFonts w:ascii="Lato" w:hAnsi="Lato"/>
              </w:rPr>
              <w:t>currencies</w:t>
            </w:r>
            <w:r>
              <w:rPr>
                <w:rFonts w:ascii="Lato" w:hAnsi="Lato"/>
              </w:rPr>
              <w:t>,</w:t>
            </w:r>
            <w:r w:rsidRPr="003E6066">
              <w:rPr>
                <w:rFonts w:ascii="Lato" w:hAnsi="Lato"/>
              </w:rPr>
              <w:t xml:space="preserve"> </w:t>
            </w:r>
          </w:p>
        </w:tc>
        <w:tc>
          <w:tcPr>
            <w:tcW w:w="819" w:type="dxa"/>
            <w:gridSpan w:val="2"/>
            <w:tcBorders>
              <w:top w:val="single" w:sz="4" w:space="0" w:color="auto"/>
              <w:left w:val="single" w:sz="4" w:space="0" w:color="auto"/>
              <w:bottom w:val="single" w:sz="4" w:space="0" w:color="auto"/>
              <w:right w:val="single" w:sz="4" w:space="0" w:color="auto"/>
            </w:tcBorders>
          </w:tcPr>
          <w:p w14:paraId="42E5F5A9" w14:textId="77777777" w:rsidR="00F74987" w:rsidRPr="004E6794" w:rsidRDefault="00F74987"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B0E2CF7" w14:textId="77777777" w:rsidR="00F74987" w:rsidRPr="004E6794" w:rsidRDefault="00F74987"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39DFA7AB" w14:textId="77777777" w:rsidR="00F74987" w:rsidRPr="004E6794" w:rsidRDefault="00F74987"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54301DD7" w14:textId="77777777" w:rsidR="00F74987" w:rsidRPr="004E6794" w:rsidRDefault="00F74987"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54F5AF53" w14:textId="77777777" w:rsidR="00F74987" w:rsidRPr="004E6794" w:rsidRDefault="00F74987" w:rsidP="00BC0730">
            <w:pPr>
              <w:spacing w:line="240" w:lineRule="auto"/>
              <w:jc w:val="both"/>
              <w:rPr>
                <w:rFonts w:ascii="Lato" w:hAnsi="Lato"/>
              </w:rPr>
            </w:pPr>
          </w:p>
        </w:tc>
        <w:tc>
          <w:tcPr>
            <w:tcW w:w="366" w:type="dxa"/>
            <w:tcBorders>
              <w:top w:val="nil"/>
              <w:left w:val="single" w:sz="4" w:space="0" w:color="auto"/>
              <w:bottom w:val="nil"/>
              <w:right w:val="nil"/>
            </w:tcBorders>
          </w:tcPr>
          <w:p w14:paraId="7053E468" w14:textId="77777777" w:rsidR="00F74987" w:rsidRPr="004E6794" w:rsidRDefault="00F74987" w:rsidP="00BC0730">
            <w:pPr>
              <w:spacing w:line="240" w:lineRule="auto"/>
              <w:jc w:val="both"/>
              <w:rPr>
                <w:rFonts w:ascii="Lato" w:hAnsi="Lato"/>
              </w:rPr>
            </w:pPr>
          </w:p>
        </w:tc>
        <w:tc>
          <w:tcPr>
            <w:tcW w:w="631" w:type="dxa"/>
            <w:gridSpan w:val="2"/>
            <w:tcBorders>
              <w:top w:val="nil"/>
              <w:left w:val="nil"/>
              <w:bottom w:val="nil"/>
              <w:right w:val="nil"/>
            </w:tcBorders>
          </w:tcPr>
          <w:p w14:paraId="5D6E6124" w14:textId="64C9A730" w:rsidR="007E3165" w:rsidRPr="004E6794" w:rsidRDefault="007E3165" w:rsidP="00BC0730">
            <w:pPr>
              <w:spacing w:line="240" w:lineRule="auto"/>
              <w:jc w:val="both"/>
              <w:rPr>
                <w:rFonts w:ascii="Lato" w:hAnsi="Lato"/>
              </w:rPr>
            </w:pPr>
          </w:p>
        </w:tc>
      </w:tr>
      <w:tr w:rsidR="003B1E55" w:rsidRPr="00226335" w14:paraId="3DD7CE03" w14:textId="77777777" w:rsidTr="00BB6A7F">
        <w:tc>
          <w:tcPr>
            <w:tcW w:w="953" w:type="dxa"/>
            <w:gridSpan w:val="2"/>
            <w:tcBorders>
              <w:top w:val="nil"/>
              <w:left w:val="nil"/>
              <w:bottom w:val="nil"/>
              <w:right w:val="nil"/>
            </w:tcBorders>
          </w:tcPr>
          <w:p w14:paraId="00D61244" w14:textId="77777777" w:rsidR="003B1E55" w:rsidRPr="0032593F" w:rsidRDefault="003B1E55" w:rsidP="00BC0730">
            <w:pPr>
              <w:spacing w:line="240" w:lineRule="auto"/>
              <w:jc w:val="both"/>
              <w:rPr>
                <w:rFonts w:ascii="Lato" w:hAnsi="Lato"/>
              </w:rPr>
            </w:pPr>
          </w:p>
        </w:tc>
        <w:tc>
          <w:tcPr>
            <w:tcW w:w="5294" w:type="dxa"/>
            <w:gridSpan w:val="3"/>
            <w:tcBorders>
              <w:top w:val="nil"/>
              <w:left w:val="nil"/>
              <w:bottom w:val="nil"/>
              <w:right w:val="nil"/>
            </w:tcBorders>
          </w:tcPr>
          <w:p w14:paraId="2F876A49" w14:textId="534108CA" w:rsidR="003B1E55" w:rsidRPr="003E6066" w:rsidRDefault="003B1E55" w:rsidP="00BB6A7F">
            <w:pPr>
              <w:pStyle w:val="ListParagraph"/>
              <w:spacing w:line="240" w:lineRule="auto"/>
              <w:ind w:left="1440"/>
              <w:rPr>
                <w:rFonts w:ascii="Lato" w:hAnsi="Lato"/>
              </w:rPr>
            </w:pPr>
            <w:r>
              <w:rPr>
                <w:rFonts w:ascii="Lato" w:hAnsi="Lato"/>
              </w:rPr>
              <w:t>or</w:t>
            </w:r>
          </w:p>
        </w:tc>
        <w:tc>
          <w:tcPr>
            <w:tcW w:w="819" w:type="dxa"/>
            <w:gridSpan w:val="2"/>
            <w:tcBorders>
              <w:top w:val="single" w:sz="4" w:space="0" w:color="auto"/>
              <w:left w:val="nil"/>
              <w:bottom w:val="single" w:sz="4" w:space="0" w:color="auto"/>
              <w:right w:val="nil"/>
            </w:tcBorders>
          </w:tcPr>
          <w:p w14:paraId="7905331B" w14:textId="77777777" w:rsidR="003B1E55" w:rsidRPr="004E6794" w:rsidRDefault="003B1E55" w:rsidP="00BC0730">
            <w:pPr>
              <w:spacing w:line="240" w:lineRule="auto"/>
              <w:jc w:val="both"/>
              <w:rPr>
                <w:rFonts w:ascii="Lato" w:hAnsi="Lato"/>
              </w:rPr>
            </w:pPr>
          </w:p>
        </w:tc>
        <w:tc>
          <w:tcPr>
            <w:tcW w:w="356" w:type="dxa"/>
            <w:gridSpan w:val="2"/>
            <w:tcBorders>
              <w:top w:val="nil"/>
              <w:left w:val="nil"/>
              <w:bottom w:val="nil"/>
              <w:right w:val="nil"/>
            </w:tcBorders>
          </w:tcPr>
          <w:p w14:paraId="57868E2D" w14:textId="77777777" w:rsidR="003B1E55" w:rsidRPr="004E6794" w:rsidRDefault="003B1E55"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60094437" w14:textId="77777777" w:rsidR="003B1E55" w:rsidRPr="004E6794" w:rsidRDefault="003B1E55" w:rsidP="00BC0730">
            <w:pPr>
              <w:spacing w:line="240" w:lineRule="auto"/>
              <w:jc w:val="both"/>
              <w:rPr>
                <w:rFonts w:ascii="Lato" w:hAnsi="Lato"/>
              </w:rPr>
            </w:pPr>
          </w:p>
        </w:tc>
        <w:tc>
          <w:tcPr>
            <w:tcW w:w="433" w:type="dxa"/>
            <w:gridSpan w:val="2"/>
            <w:tcBorders>
              <w:top w:val="nil"/>
              <w:left w:val="nil"/>
              <w:bottom w:val="nil"/>
              <w:right w:val="nil"/>
            </w:tcBorders>
          </w:tcPr>
          <w:p w14:paraId="5E8AD316" w14:textId="77777777" w:rsidR="003B1E55" w:rsidRPr="004E6794" w:rsidRDefault="003B1E55"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0ED0DC6B" w14:textId="77777777" w:rsidR="003B1E55" w:rsidRPr="004E6794" w:rsidRDefault="003B1E55" w:rsidP="00BC0730">
            <w:pPr>
              <w:spacing w:line="240" w:lineRule="auto"/>
              <w:jc w:val="both"/>
              <w:rPr>
                <w:rFonts w:ascii="Lato" w:hAnsi="Lato"/>
              </w:rPr>
            </w:pPr>
          </w:p>
        </w:tc>
        <w:tc>
          <w:tcPr>
            <w:tcW w:w="366" w:type="dxa"/>
            <w:tcBorders>
              <w:top w:val="nil"/>
              <w:left w:val="nil"/>
              <w:bottom w:val="nil"/>
              <w:right w:val="nil"/>
            </w:tcBorders>
          </w:tcPr>
          <w:p w14:paraId="7DA4BE26" w14:textId="77777777" w:rsidR="003B1E55" w:rsidRPr="004E6794" w:rsidRDefault="003B1E55" w:rsidP="00BC0730">
            <w:pPr>
              <w:spacing w:line="240" w:lineRule="auto"/>
              <w:jc w:val="both"/>
              <w:rPr>
                <w:rFonts w:ascii="Lato" w:hAnsi="Lato"/>
              </w:rPr>
            </w:pPr>
          </w:p>
        </w:tc>
        <w:tc>
          <w:tcPr>
            <w:tcW w:w="631" w:type="dxa"/>
            <w:gridSpan w:val="2"/>
            <w:tcBorders>
              <w:top w:val="nil"/>
              <w:left w:val="nil"/>
              <w:bottom w:val="nil"/>
              <w:right w:val="nil"/>
            </w:tcBorders>
          </w:tcPr>
          <w:p w14:paraId="341FAA5F" w14:textId="77777777" w:rsidR="003B1E55" w:rsidRPr="004E6794" w:rsidRDefault="003B1E55" w:rsidP="00BC0730">
            <w:pPr>
              <w:spacing w:line="240" w:lineRule="auto"/>
              <w:jc w:val="both"/>
              <w:rPr>
                <w:rFonts w:ascii="Lato" w:hAnsi="Lato"/>
              </w:rPr>
            </w:pPr>
          </w:p>
        </w:tc>
      </w:tr>
      <w:tr w:rsidR="007E3165" w:rsidRPr="00226335" w14:paraId="582B6879" w14:textId="77777777" w:rsidTr="00BB6A7F">
        <w:tc>
          <w:tcPr>
            <w:tcW w:w="953" w:type="dxa"/>
            <w:gridSpan w:val="2"/>
            <w:tcBorders>
              <w:top w:val="nil"/>
              <w:left w:val="nil"/>
              <w:bottom w:val="nil"/>
              <w:right w:val="nil"/>
            </w:tcBorders>
          </w:tcPr>
          <w:p w14:paraId="4BF39659"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5ADBB86F" w14:textId="355EA0F8" w:rsidR="007E3165" w:rsidRPr="003E6066" w:rsidRDefault="007E3165" w:rsidP="007B13FE">
            <w:pPr>
              <w:pStyle w:val="ListParagraph"/>
              <w:numPr>
                <w:ilvl w:val="0"/>
                <w:numId w:val="87"/>
              </w:numPr>
              <w:spacing w:line="240" w:lineRule="auto"/>
              <w:rPr>
                <w:rFonts w:ascii="Lato" w:hAnsi="Lato"/>
              </w:rPr>
            </w:pPr>
            <w:r w:rsidRPr="003E6066">
              <w:rPr>
                <w:rFonts w:ascii="Lato" w:hAnsi="Lato"/>
              </w:rPr>
              <w:t xml:space="preserve">indices representing one of those </w:t>
            </w:r>
          </w:p>
        </w:tc>
        <w:tc>
          <w:tcPr>
            <w:tcW w:w="819" w:type="dxa"/>
            <w:gridSpan w:val="2"/>
            <w:tcBorders>
              <w:top w:val="single" w:sz="4" w:space="0" w:color="auto"/>
              <w:left w:val="single" w:sz="4" w:space="0" w:color="auto"/>
              <w:bottom w:val="single" w:sz="4" w:space="0" w:color="auto"/>
              <w:right w:val="single" w:sz="4" w:space="0" w:color="auto"/>
            </w:tcBorders>
          </w:tcPr>
          <w:p w14:paraId="3A3F6DF0" w14:textId="77777777" w:rsidR="007E3165" w:rsidRPr="004E6794" w:rsidRDefault="007E3165"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2E697471"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1EA4EE3E" w14:textId="77777777" w:rsidR="007E3165" w:rsidRPr="004E6794" w:rsidRDefault="007E3165"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3854762C"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B4651ED" w14:textId="77777777" w:rsidR="007E3165" w:rsidRPr="004E6794" w:rsidRDefault="007E3165" w:rsidP="00BC0730">
            <w:pPr>
              <w:spacing w:line="240" w:lineRule="auto"/>
              <w:jc w:val="both"/>
              <w:rPr>
                <w:rFonts w:ascii="Lato" w:hAnsi="Lato"/>
              </w:rPr>
            </w:pPr>
          </w:p>
        </w:tc>
        <w:tc>
          <w:tcPr>
            <w:tcW w:w="366" w:type="dxa"/>
            <w:tcBorders>
              <w:top w:val="nil"/>
              <w:left w:val="single" w:sz="4" w:space="0" w:color="auto"/>
              <w:bottom w:val="nil"/>
              <w:right w:val="nil"/>
            </w:tcBorders>
          </w:tcPr>
          <w:p w14:paraId="73C19FB3"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6618957A" w14:textId="77777777" w:rsidR="007E3165" w:rsidRPr="004E6794" w:rsidRDefault="007E3165" w:rsidP="00BC0730">
            <w:pPr>
              <w:spacing w:line="240" w:lineRule="auto"/>
              <w:jc w:val="both"/>
              <w:rPr>
                <w:rFonts w:ascii="Lato" w:hAnsi="Lato"/>
              </w:rPr>
            </w:pPr>
          </w:p>
        </w:tc>
      </w:tr>
      <w:tr w:rsidR="007E3165" w:rsidRPr="00226335" w14:paraId="39C40440" w14:textId="77777777" w:rsidTr="00BB6A7F">
        <w:tc>
          <w:tcPr>
            <w:tcW w:w="953" w:type="dxa"/>
            <w:gridSpan w:val="2"/>
            <w:tcBorders>
              <w:top w:val="nil"/>
              <w:left w:val="nil"/>
              <w:bottom w:val="nil"/>
              <w:right w:val="nil"/>
            </w:tcBorders>
          </w:tcPr>
          <w:p w14:paraId="278AF155"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28E16159" w14:textId="77777777" w:rsidR="00665F63" w:rsidRDefault="007E3165" w:rsidP="007B13FE">
            <w:pPr>
              <w:pStyle w:val="ListParagraph"/>
              <w:spacing w:line="240" w:lineRule="auto"/>
              <w:ind w:left="1440"/>
              <w:rPr>
                <w:rFonts w:ascii="Lato" w:hAnsi="Lato"/>
              </w:rPr>
            </w:pPr>
            <w:r w:rsidRPr="003E6066">
              <w:rPr>
                <w:rFonts w:ascii="Lato" w:hAnsi="Lato"/>
              </w:rPr>
              <w:t>categories;</w:t>
            </w:r>
            <w:r w:rsidR="00665F63">
              <w:rPr>
                <w:rFonts w:ascii="Lato" w:hAnsi="Lato"/>
              </w:rPr>
              <w:t xml:space="preserve"> </w:t>
            </w:r>
          </w:p>
          <w:p w14:paraId="18592299" w14:textId="7D69BF1F" w:rsidR="007E3165" w:rsidRPr="007B13FE" w:rsidRDefault="00665F63" w:rsidP="007B13FE">
            <w:pPr>
              <w:spacing w:line="240" w:lineRule="auto"/>
              <w:rPr>
                <w:rFonts w:ascii="Lato" w:hAnsi="Lato"/>
              </w:rPr>
            </w:pPr>
            <w:r>
              <w:rPr>
                <w:rFonts w:ascii="Lato" w:hAnsi="Lato"/>
              </w:rPr>
              <w:t xml:space="preserve">         </w:t>
            </w:r>
            <w:r w:rsidRPr="007B13FE">
              <w:rPr>
                <w:rFonts w:ascii="Lato" w:hAnsi="Lato"/>
              </w:rPr>
              <w:t>and</w:t>
            </w:r>
          </w:p>
        </w:tc>
        <w:tc>
          <w:tcPr>
            <w:tcW w:w="819" w:type="dxa"/>
            <w:gridSpan w:val="2"/>
            <w:tcBorders>
              <w:top w:val="single" w:sz="4" w:space="0" w:color="auto"/>
              <w:left w:val="nil"/>
              <w:bottom w:val="single" w:sz="4" w:space="0" w:color="auto"/>
              <w:right w:val="nil"/>
            </w:tcBorders>
          </w:tcPr>
          <w:p w14:paraId="2E90FD75"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0B583BFC"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5301FB27"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0E0CE163"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1F2F3AC1"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71EDC2E5"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495AC1A7" w14:textId="77777777" w:rsidR="007E3165" w:rsidRPr="004E6794" w:rsidRDefault="007E3165" w:rsidP="00BC0730">
            <w:pPr>
              <w:spacing w:line="240" w:lineRule="auto"/>
              <w:jc w:val="both"/>
              <w:rPr>
                <w:rFonts w:ascii="Lato" w:hAnsi="Lato"/>
              </w:rPr>
            </w:pPr>
          </w:p>
        </w:tc>
      </w:tr>
      <w:tr w:rsidR="00800069" w:rsidRPr="00226335" w14:paraId="0A29F237" w14:textId="77777777" w:rsidTr="00BB6A7F">
        <w:tc>
          <w:tcPr>
            <w:tcW w:w="953" w:type="dxa"/>
            <w:gridSpan w:val="2"/>
            <w:tcBorders>
              <w:top w:val="nil"/>
              <w:left w:val="nil"/>
              <w:bottom w:val="nil"/>
              <w:right w:val="nil"/>
            </w:tcBorders>
          </w:tcPr>
          <w:p w14:paraId="0160F340" w14:textId="77777777" w:rsidR="00800069" w:rsidRPr="0032593F" w:rsidRDefault="00800069"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7F608236" w14:textId="431E13FE" w:rsidR="00800069" w:rsidRPr="007B13FE" w:rsidRDefault="00607C1E" w:rsidP="007B13FE">
            <w:pPr>
              <w:pStyle w:val="ListParagraph"/>
              <w:numPr>
                <w:ilvl w:val="0"/>
                <w:numId w:val="85"/>
              </w:numPr>
              <w:spacing w:line="240" w:lineRule="auto"/>
              <w:rPr>
                <w:rFonts w:ascii="Lato" w:hAnsi="Lato"/>
              </w:rPr>
            </w:pPr>
            <w:r w:rsidRPr="00607C1E">
              <w:rPr>
                <w:rFonts w:ascii="Lato" w:hAnsi="Lato"/>
              </w:rPr>
              <w:t xml:space="preserve">the </w:t>
            </w:r>
            <w:r>
              <w:rPr>
                <w:rFonts w:ascii="Lato" w:hAnsi="Lato"/>
              </w:rPr>
              <w:t>FDI</w:t>
            </w:r>
            <w:r w:rsidRPr="00607C1E">
              <w:rPr>
                <w:rFonts w:ascii="Lato" w:hAnsi="Lato"/>
              </w:rPr>
              <w:t xml:space="preserve"> serves only the purpose of hedging </w:t>
            </w:r>
          </w:p>
        </w:tc>
        <w:tc>
          <w:tcPr>
            <w:tcW w:w="819" w:type="dxa"/>
            <w:gridSpan w:val="2"/>
            <w:tcBorders>
              <w:top w:val="single" w:sz="4" w:space="0" w:color="auto"/>
              <w:left w:val="single" w:sz="4" w:space="0" w:color="auto"/>
              <w:bottom w:val="single" w:sz="4" w:space="0" w:color="auto"/>
              <w:right w:val="single" w:sz="4" w:space="0" w:color="auto"/>
            </w:tcBorders>
          </w:tcPr>
          <w:p w14:paraId="34705904" w14:textId="77777777" w:rsidR="00800069" w:rsidRPr="004E6794" w:rsidRDefault="00800069"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5513B629" w14:textId="77777777" w:rsidR="00800069" w:rsidRPr="004E6794" w:rsidRDefault="00800069"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70401636" w14:textId="77777777" w:rsidR="00800069" w:rsidRPr="004E6794" w:rsidRDefault="00800069"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5A11538" w14:textId="77777777" w:rsidR="00800069" w:rsidRPr="004E6794" w:rsidRDefault="00800069"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FB7EC11" w14:textId="77777777" w:rsidR="00800069" w:rsidRPr="004E6794" w:rsidRDefault="00800069" w:rsidP="00BC0730">
            <w:pPr>
              <w:spacing w:line="240" w:lineRule="auto"/>
              <w:jc w:val="both"/>
              <w:rPr>
                <w:rFonts w:ascii="Lato" w:hAnsi="Lato"/>
              </w:rPr>
            </w:pPr>
          </w:p>
        </w:tc>
        <w:tc>
          <w:tcPr>
            <w:tcW w:w="366" w:type="dxa"/>
            <w:tcBorders>
              <w:top w:val="nil"/>
              <w:left w:val="single" w:sz="4" w:space="0" w:color="auto"/>
              <w:bottom w:val="nil"/>
              <w:right w:val="nil"/>
            </w:tcBorders>
          </w:tcPr>
          <w:p w14:paraId="7DE84980" w14:textId="77777777" w:rsidR="00800069" w:rsidRPr="004E6794" w:rsidRDefault="00800069" w:rsidP="00BC0730">
            <w:pPr>
              <w:spacing w:line="240" w:lineRule="auto"/>
              <w:jc w:val="both"/>
              <w:rPr>
                <w:rFonts w:ascii="Lato" w:hAnsi="Lato"/>
              </w:rPr>
            </w:pPr>
          </w:p>
        </w:tc>
        <w:tc>
          <w:tcPr>
            <w:tcW w:w="631" w:type="dxa"/>
            <w:gridSpan w:val="2"/>
            <w:tcBorders>
              <w:top w:val="nil"/>
              <w:left w:val="nil"/>
              <w:bottom w:val="nil"/>
              <w:right w:val="nil"/>
            </w:tcBorders>
          </w:tcPr>
          <w:p w14:paraId="5358A11F" w14:textId="77777777" w:rsidR="00800069" w:rsidRPr="004E6794" w:rsidRDefault="00800069" w:rsidP="00BC0730">
            <w:pPr>
              <w:spacing w:line="240" w:lineRule="auto"/>
              <w:jc w:val="both"/>
              <w:rPr>
                <w:rFonts w:ascii="Lato" w:hAnsi="Lato"/>
              </w:rPr>
            </w:pPr>
          </w:p>
        </w:tc>
      </w:tr>
      <w:tr w:rsidR="007E3165" w:rsidRPr="00226335" w14:paraId="11DC6F23" w14:textId="77777777" w:rsidTr="00BB6A7F">
        <w:tc>
          <w:tcPr>
            <w:tcW w:w="953" w:type="dxa"/>
            <w:gridSpan w:val="2"/>
            <w:tcBorders>
              <w:top w:val="nil"/>
              <w:left w:val="nil"/>
              <w:bottom w:val="nil"/>
              <w:right w:val="nil"/>
            </w:tcBorders>
          </w:tcPr>
          <w:p w14:paraId="500228AD"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7DDF5A39" w14:textId="0C27AEFB" w:rsidR="007E3165" w:rsidRPr="00607C1E" w:rsidRDefault="007E3165" w:rsidP="007B13FE">
            <w:pPr>
              <w:pStyle w:val="ListParagraph"/>
              <w:spacing w:line="240" w:lineRule="auto"/>
              <w:rPr>
                <w:rFonts w:ascii="Lato" w:hAnsi="Lato"/>
              </w:rPr>
            </w:pPr>
            <w:r w:rsidRPr="00607C1E">
              <w:rPr>
                <w:rFonts w:ascii="Lato" w:hAnsi="Lato"/>
              </w:rPr>
              <w:t>the interest rate or exchange rate risks inherent in other investments of the M</w:t>
            </w:r>
            <w:r w:rsidR="0030640C">
              <w:rPr>
                <w:rFonts w:ascii="Lato" w:hAnsi="Lato"/>
              </w:rPr>
              <w:t xml:space="preserve">oney </w:t>
            </w:r>
            <w:r w:rsidRPr="00607C1E">
              <w:rPr>
                <w:rFonts w:ascii="Lato" w:hAnsi="Lato"/>
              </w:rPr>
              <w:t>M</w:t>
            </w:r>
            <w:r w:rsidR="0030640C">
              <w:rPr>
                <w:rFonts w:ascii="Lato" w:hAnsi="Lato"/>
              </w:rPr>
              <w:t xml:space="preserve">arket </w:t>
            </w:r>
            <w:r w:rsidRPr="00607C1E">
              <w:rPr>
                <w:rFonts w:ascii="Lato" w:hAnsi="Lato"/>
              </w:rPr>
              <w:t>F</w:t>
            </w:r>
            <w:r w:rsidR="0030640C">
              <w:rPr>
                <w:rFonts w:ascii="Lato" w:hAnsi="Lato"/>
              </w:rPr>
              <w:t>und</w:t>
            </w:r>
          </w:p>
        </w:tc>
        <w:tc>
          <w:tcPr>
            <w:tcW w:w="819" w:type="dxa"/>
            <w:gridSpan w:val="2"/>
            <w:tcBorders>
              <w:top w:val="single" w:sz="4" w:space="0" w:color="auto"/>
              <w:left w:val="nil"/>
              <w:bottom w:val="nil"/>
              <w:right w:val="nil"/>
            </w:tcBorders>
          </w:tcPr>
          <w:p w14:paraId="7C9533B1"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02ECF83A"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57FB8456"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6710CB15"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0A4BCE6E"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193B17B9"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0B09CBCF" w14:textId="77777777" w:rsidR="007E3165" w:rsidRPr="004E6794" w:rsidRDefault="007E3165" w:rsidP="00BC0730">
            <w:pPr>
              <w:spacing w:line="240" w:lineRule="auto"/>
              <w:jc w:val="both"/>
              <w:rPr>
                <w:rFonts w:ascii="Lato" w:hAnsi="Lato"/>
              </w:rPr>
            </w:pPr>
          </w:p>
        </w:tc>
      </w:tr>
      <w:tr w:rsidR="00607C1E" w:rsidRPr="00226335" w14:paraId="64C11524" w14:textId="77777777" w:rsidTr="00BB6A7F">
        <w:tc>
          <w:tcPr>
            <w:tcW w:w="953" w:type="dxa"/>
            <w:gridSpan w:val="2"/>
            <w:tcBorders>
              <w:top w:val="nil"/>
              <w:left w:val="nil"/>
              <w:bottom w:val="nil"/>
              <w:right w:val="nil"/>
            </w:tcBorders>
          </w:tcPr>
          <w:p w14:paraId="59F35C2D" w14:textId="77777777" w:rsidR="00607C1E" w:rsidRPr="0032593F" w:rsidRDefault="00607C1E" w:rsidP="00BC0730">
            <w:pPr>
              <w:spacing w:line="240" w:lineRule="auto"/>
              <w:jc w:val="both"/>
              <w:rPr>
                <w:rFonts w:ascii="Lato" w:hAnsi="Lato"/>
              </w:rPr>
            </w:pPr>
          </w:p>
        </w:tc>
        <w:tc>
          <w:tcPr>
            <w:tcW w:w="5294" w:type="dxa"/>
            <w:gridSpan w:val="3"/>
            <w:tcBorders>
              <w:top w:val="nil"/>
              <w:left w:val="nil"/>
              <w:bottom w:val="nil"/>
              <w:right w:val="nil"/>
            </w:tcBorders>
          </w:tcPr>
          <w:p w14:paraId="68241D49" w14:textId="77777777" w:rsidR="00607C1E" w:rsidRDefault="00607C1E" w:rsidP="00BC0730">
            <w:pPr>
              <w:spacing w:line="240" w:lineRule="auto"/>
              <w:rPr>
                <w:rFonts w:ascii="Lato" w:hAnsi="Lato"/>
              </w:rPr>
            </w:pPr>
          </w:p>
        </w:tc>
        <w:tc>
          <w:tcPr>
            <w:tcW w:w="819" w:type="dxa"/>
            <w:gridSpan w:val="2"/>
            <w:tcBorders>
              <w:top w:val="nil"/>
              <w:left w:val="nil"/>
              <w:bottom w:val="nil"/>
              <w:right w:val="nil"/>
            </w:tcBorders>
          </w:tcPr>
          <w:p w14:paraId="4C846BC9" w14:textId="77777777" w:rsidR="00607C1E" w:rsidRPr="004E6794" w:rsidRDefault="00607C1E" w:rsidP="00BC0730">
            <w:pPr>
              <w:spacing w:line="240" w:lineRule="auto"/>
              <w:jc w:val="both"/>
              <w:rPr>
                <w:rFonts w:ascii="Lato" w:hAnsi="Lato"/>
              </w:rPr>
            </w:pPr>
          </w:p>
        </w:tc>
        <w:tc>
          <w:tcPr>
            <w:tcW w:w="356" w:type="dxa"/>
            <w:gridSpan w:val="2"/>
            <w:tcBorders>
              <w:top w:val="nil"/>
              <w:left w:val="nil"/>
              <w:bottom w:val="nil"/>
              <w:right w:val="nil"/>
            </w:tcBorders>
          </w:tcPr>
          <w:p w14:paraId="0F27D7F0" w14:textId="77777777" w:rsidR="00607C1E" w:rsidRPr="004E6794" w:rsidRDefault="00607C1E" w:rsidP="00BC0730">
            <w:pPr>
              <w:spacing w:line="240" w:lineRule="auto"/>
              <w:jc w:val="both"/>
              <w:rPr>
                <w:rFonts w:ascii="Lato" w:hAnsi="Lato"/>
              </w:rPr>
            </w:pPr>
          </w:p>
        </w:tc>
        <w:tc>
          <w:tcPr>
            <w:tcW w:w="1361" w:type="dxa"/>
            <w:gridSpan w:val="2"/>
            <w:tcBorders>
              <w:top w:val="nil"/>
              <w:left w:val="nil"/>
              <w:bottom w:val="nil"/>
              <w:right w:val="nil"/>
            </w:tcBorders>
          </w:tcPr>
          <w:p w14:paraId="0693C478" w14:textId="77777777" w:rsidR="00607C1E" w:rsidRPr="004E6794" w:rsidRDefault="00607C1E" w:rsidP="00BC0730">
            <w:pPr>
              <w:spacing w:line="240" w:lineRule="auto"/>
              <w:jc w:val="both"/>
              <w:rPr>
                <w:rFonts w:ascii="Lato" w:hAnsi="Lato"/>
              </w:rPr>
            </w:pPr>
          </w:p>
        </w:tc>
        <w:tc>
          <w:tcPr>
            <w:tcW w:w="433" w:type="dxa"/>
            <w:gridSpan w:val="2"/>
            <w:tcBorders>
              <w:top w:val="nil"/>
              <w:left w:val="nil"/>
              <w:bottom w:val="nil"/>
              <w:right w:val="nil"/>
            </w:tcBorders>
          </w:tcPr>
          <w:p w14:paraId="6DE4DE7F" w14:textId="77777777" w:rsidR="00607C1E" w:rsidRPr="004E6794" w:rsidRDefault="00607C1E" w:rsidP="00BC0730">
            <w:pPr>
              <w:spacing w:line="240" w:lineRule="auto"/>
              <w:jc w:val="both"/>
              <w:rPr>
                <w:rFonts w:ascii="Lato" w:hAnsi="Lato"/>
              </w:rPr>
            </w:pPr>
          </w:p>
        </w:tc>
        <w:tc>
          <w:tcPr>
            <w:tcW w:w="936" w:type="dxa"/>
            <w:gridSpan w:val="3"/>
            <w:tcBorders>
              <w:top w:val="nil"/>
              <w:left w:val="nil"/>
              <w:bottom w:val="nil"/>
              <w:right w:val="nil"/>
            </w:tcBorders>
          </w:tcPr>
          <w:p w14:paraId="0038A31B" w14:textId="77777777" w:rsidR="00607C1E" w:rsidRPr="004E6794" w:rsidRDefault="00607C1E" w:rsidP="00BC0730">
            <w:pPr>
              <w:spacing w:line="240" w:lineRule="auto"/>
              <w:jc w:val="both"/>
              <w:rPr>
                <w:rFonts w:ascii="Lato" w:hAnsi="Lato"/>
              </w:rPr>
            </w:pPr>
          </w:p>
        </w:tc>
        <w:tc>
          <w:tcPr>
            <w:tcW w:w="366" w:type="dxa"/>
            <w:tcBorders>
              <w:top w:val="nil"/>
              <w:left w:val="nil"/>
              <w:bottom w:val="nil"/>
              <w:right w:val="nil"/>
            </w:tcBorders>
          </w:tcPr>
          <w:p w14:paraId="17D5E4C1" w14:textId="77777777" w:rsidR="00607C1E" w:rsidRPr="004E6794" w:rsidRDefault="00607C1E" w:rsidP="00BC0730">
            <w:pPr>
              <w:spacing w:line="240" w:lineRule="auto"/>
              <w:jc w:val="both"/>
              <w:rPr>
                <w:rFonts w:ascii="Lato" w:hAnsi="Lato"/>
              </w:rPr>
            </w:pPr>
          </w:p>
        </w:tc>
        <w:tc>
          <w:tcPr>
            <w:tcW w:w="631" w:type="dxa"/>
            <w:gridSpan w:val="2"/>
            <w:tcBorders>
              <w:top w:val="nil"/>
              <w:left w:val="nil"/>
              <w:bottom w:val="nil"/>
              <w:right w:val="nil"/>
            </w:tcBorders>
          </w:tcPr>
          <w:p w14:paraId="03B57E76" w14:textId="77777777" w:rsidR="00607C1E" w:rsidRPr="004E6794" w:rsidRDefault="00607C1E" w:rsidP="00BC0730">
            <w:pPr>
              <w:spacing w:line="240" w:lineRule="auto"/>
              <w:jc w:val="both"/>
              <w:rPr>
                <w:rFonts w:ascii="Lato" w:hAnsi="Lato"/>
              </w:rPr>
            </w:pPr>
          </w:p>
        </w:tc>
      </w:tr>
      <w:tr w:rsidR="00800069" w:rsidRPr="00226335" w14:paraId="19CF250E" w14:textId="77777777" w:rsidTr="00BB6A7F">
        <w:tc>
          <w:tcPr>
            <w:tcW w:w="953" w:type="dxa"/>
            <w:gridSpan w:val="2"/>
            <w:tcBorders>
              <w:top w:val="nil"/>
              <w:left w:val="nil"/>
              <w:bottom w:val="nil"/>
              <w:right w:val="nil"/>
            </w:tcBorders>
          </w:tcPr>
          <w:p w14:paraId="493B0889" w14:textId="1DA8BA04" w:rsidR="00800069" w:rsidRPr="00BB6A7F" w:rsidRDefault="009B2A77" w:rsidP="00BC0730">
            <w:pPr>
              <w:spacing w:line="240" w:lineRule="auto"/>
              <w:jc w:val="both"/>
              <w:rPr>
                <w:rFonts w:ascii="Lato" w:hAnsi="Lato"/>
              </w:rPr>
            </w:pPr>
            <w:r>
              <w:rPr>
                <w:rFonts w:ascii="Lato" w:hAnsi="Lato"/>
              </w:rPr>
              <w:t>2.8</w:t>
            </w:r>
          </w:p>
        </w:tc>
        <w:tc>
          <w:tcPr>
            <w:tcW w:w="5294" w:type="dxa"/>
            <w:gridSpan w:val="3"/>
            <w:tcBorders>
              <w:top w:val="nil"/>
              <w:left w:val="nil"/>
              <w:bottom w:val="nil"/>
              <w:right w:val="nil"/>
            </w:tcBorders>
          </w:tcPr>
          <w:p w14:paraId="78C3500D" w14:textId="7018CDF4" w:rsidR="00800069" w:rsidRPr="00E53BF0" w:rsidRDefault="00E53BF0" w:rsidP="00BC0730">
            <w:pPr>
              <w:spacing w:line="240" w:lineRule="auto"/>
              <w:rPr>
                <w:rFonts w:ascii="Lato" w:hAnsi="Lato"/>
              </w:rPr>
            </w:pPr>
            <w:r w:rsidRPr="007B13FE">
              <w:rPr>
                <w:rFonts w:ascii="Lato" w:hAnsi="Lato"/>
                <w:i/>
              </w:rPr>
              <w:t>Short-Term Money Market Funds</w:t>
            </w:r>
          </w:p>
        </w:tc>
        <w:tc>
          <w:tcPr>
            <w:tcW w:w="819" w:type="dxa"/>
            <w:gridSpan w:val="2"/>
            <w:tcBorders>
              <w:top w:val="nil"/>
              <w:left w:val="nil"/>
              <w:bottom w:val="nil"/>
              <w:right w:val="nil"/>
            </w:tcBorders>
          </w:tcPr>
          <w:p w14:paraId="77E2EC38" w14:textId="77777777" w:rsidR="00800069" w:rsidRPr="004E6794" w:rsidRDefault="00800069" w:rsidP="00BC0730">
            <w:pPr>
              <w:spacing w:line="240" w:lineRule="auto"/>
              <w:jc w:val="both"/>
              <w:rPr>
                <w:rFonts w:ascii="Lato" w:hAnsi="Lato"/>
              </w:rPr>
            </w:pPr>
          </w:p>
        </w:tc>
        <w:tc>
          <w:tcPr>
            <w:tcW w:w="356" w:type="dxa"/>
            <w:gridSpan w:val="2"/>
            <w:tcBorders>
              <w:top w:val="nil"/>
              <w:left w:val="nil"/>
              <w:bottom w:val="nil"/>
              <w:right w:val="nil"/>
            </w:tcBorders>
          </w:tcPr>
          <w:p w14:paraId="578D16F4" w14:textId="77777777" w:rsidR="00800069" w:rsidRPr="004E6794" w:rsidRDefault="00800069" w:rsidP="00BC0730">
            <w:pPr>
              <w:spacing w:line="240" w:lineRule="auto"/>
              <w:jc w:val="both"/>
              <w:rPr>
                <w:rFonts w:ascii="Lato" w:hAnsi="Lato"/>
              </w:rPr>
            </w:pPr>
          </w:p>
        </w:tc>
        <w:tc>
          <w:tcPr>
            <w:tcW w:w="1361" w:type="dxa"/>
            <w:gridSpan w:val="2"/>
            <w:tcBorders>
              <w:top w:val="nil"/>
              <w:left w:val="nil"/>
              <w:bottom w:val="nil"/>
              <w:right w:val="nil"/>
            </w:tcBorders>
          </w:tcPr>
          <w:p w14:paraId="5AB67D29" w14:textId="77777777" w:rsidR="00800069" w:rsidRPr="004E6794" w:rsidRDefault="00800069" w:rsidP="00BC0730">
            <w:pPr>
              <w:spacing w:line="240" w:lineRule="auto"/>
              <w:jc w:val="both"/>
              <w:rPr>
                <w:rFonts w:ascii="Lato" w:hAnsi="Lato"/>
              </w:rPr>
            </w:pPr>
          </w:p>
        </w:tc>
        <w:tc>
          <w:tcPr>
            <w:tcW w:w="433" w:type="dxa"/>
            <w:gridSpan w:val="2"/>
            <w:tcBorders>
              <w:top w:val="nil"/>
              <w:left w:val="nil"/>
              <w:bottom w:val="nil"/>
              <w:right w:val="nil"/>
            </w:tcBorders>
          </w:tcPr>
          <w:p w14:paraId="25EC64AA" w14:textId="77777777" w:rsidR="00800069" w:rsidRPr="004E6794" w:rsidRDefault="00800069" w:rsidP="00BC0730">
            <w:pPr>
              <w:spacing w:line="240" w:lineRule="auto"/>
              <w:jc w:val="both"/>
              <w:rPr>
                <w:rFonts w:ascii="Lato" w:hAnsi="Lato"/>
              </w:rPr>
            </w:pPr>
          </w:p>
        </w:tc>
        <w:tc>
          <w:tcPr>
            <w:tcW w:w="936" w:type="dxa"/>
            <w:gridSpan w:val="3"/>
            <w:tcBorders>
              <w:top w:val="nil"/>
              <w:left w:val="nil"/>
              <w:bottom w:val="nil"/>
              <w:right w:val="nil"/>
            </w:tcBorders>
          </w:tcPr>
          <w:p w14:paraId="78DE8E45" w14:textId="77777777" w:rsidR="00800069" w:rsidRPr="004E6794" w:rsidRDefault="00800069" w:rsidP="00BC0730">
            <w:pPr>
              <w:spacing w:line="240" w:lineRule="auto"/>
              <w:jc w:val="both"/>
              <w:rPr>
                <w:rFonts w:ascii="Lato" w:hAnsi="Lato"/>
              </w:rPr>
            </w:pPr>
          </w:p>
        </w:tc>
        <w:tc>
          <w:tcPr>
            <w:tcW w:w="366" w:type="dxa"/>
            <w:tcBorders>
              <w:top w:val="nil"/>
              <w:left w:val="nil"/>
              <w:bottom w:val="nil"/>
              <w:right w:val="nil"/>
            </w:tcBorders>
          </w:tcPr>
          <w:p w14:paraId="0D04D5F8" w14:textId="77777777" w:rsidR="00800069" w:rsidRPr="004E6794" w:rsidRDefault="00800069" w:rsidP="00BC0730">
            <w:pPr>
              <w:spacing w:line="240" w:lineRule="auto"/>
              <w:jc w:val="both"/>
              <w:rPr>
                <w:rFonts w:ascii="Lato" w:hAnsi="Lato"/>
              </w:rPr>
            </w:pPr>
          </w:p>
        </w:tc>
        <w:tc>
          <w:tcPr>
            <w:tcW w:w="631" w:type="dxa"/>
            <w:gridSpan w:val="2"/>
            <w:tcBorders>
              <w:top w:val="nil"/>
              <w:left w:val="nil"/>
              <w:bottom w:val="nil"/>
              <w:right w:val="nil"/>
            </w:tcBorders>
          </w:tcPr>
          <w:p w14:paraId="0D9149F6" w14:textId="77777777" w:rsidR="00800069" w:rsidRPr="004E6794" w:rsidRDefault="00800069" w:rsidP="00BC0730">
            <w:pPr>
              <w:spacing w:line="240" w:lineRule="auto"/>
              <w:jc w:val="both"/>
              <w:rPr>
                <w:rFonts w:ascii="Lato" w:hAnsi="Lato"/>
              </w:rPr>
            </w:pPr>
          </w:p>
        </w:tc>
      </w:tr>
      <w:tr w:rsidR="008709E3" w:rsidRPr="00226335" w14:paraId="0A5F91BA" w14:textId="77777777" w:rsidTr="00BB6A7F">
        <w:tc>
          <w:tcPr>
            <w:tcW w:w="953" w:type="dxa"/>
            <w:gridSpan w:val="2"/>
            <w:tcBorders>
              <w:top w:val="nil"/>
              <w:left w:val="nil"/>
              <w:bottom w:val="nil"/>
              <w:right w:val="nil"/>
            </w:tcBorders>
          </w:tcPr>
          <w:p w14:paraId="6F7AE5A4" w14:textId="6CF4E166" w:rsidR="00E53BF0" w:rsidRPr="0032593F" w:rsidRDefault="00F74987" w:rsidP="00BC0730">
            <w:pPr>
              <w:spacing w:line="240" w:lineRule="auto"/>
              <w:jc w:val="both"/>
              <w:rPr>
                <w:rFonts w:ascii="Lato" w:hAnsi="Lato"/>
              </w:rPr>
            </w:pPr>
            <w:r w:rsidRPr="0032593F">
              <w:rPr>
                <w:rFonts w:ascii="Lato" w:hAnsi="Lato"/>
              </w:rPr>
              <w:t>2.8</w:t>
            </w:r>
            <w:r w:rsidR="009B2A77">
              <w:rPr>
                <w:rFonts w:ascii="Lato" w:hAnsi="Lato"/>
              </w:rPr>
              <w:t>.1</w:t>
            </w:r>
          </w:p>
        </w:tc>
        <w:tc>
          <w:tcPr>
            <w:tcW w:w="5294" w:type="dxa"/>
            <w:gridSpan w:val="3"/>
            <w:tcBorders>
              <w:top w:val="nil"/>
              <w:left w:val="nil"/>
              <w:bottom w:val="nil"/>
              <w:right w:val="single" w:sz="4" w:space="0" w:color="auto"/>
            </w:tcBorders>
          </w:tcPr>
          <w:p w14:paraId="58C8A516" w14:textId="07B23E13" w:rsidR="00E53BF0" w:rsidRDefault="00E53BF0">
            <w:pPr>
              <w:spacing w:line="240" w:lineRule="auto"/>
              <w:rPr>
                <w:rFonts w:ascii="Lato" w:hAnsi="Lato"/>
              </w:rPr>
            </w:pPr>
            <w:r>
              <w:rPr>
                <w:rFonts w:ascii="Lato" w:hAnsi="Lato"/>
              </w:rPr>
              <w:t xml:space="preserve">State that the Fund is a </w:t>
            </w:r>
            <w:r w:rsidR="0059784F">
              <w:rPr>
                <w:rFonts w:ascii="Lato" w:hAnsi="Lato"/>
              </w:rPr>
              <w:t>s</w:t>
            </w:r>
            <w:r w:rsidR="00A971EB">
              <w:rPr>
                <w:rFonts w:ascii="Lato" w:hAnsi="Lato"/>
              </w:rPr>
              <w:t xml:space="preserve">hort </w:t>
            </w:r>
            <w:r w:rsidR="0059784F">
              <w:rPr>
                <w:rFonts w:ascii="Lato" w:hAnsi="Lato"/>
              </w:rPr>
              <w:t>t</w:t>
            </w:r>
            <w:r w:rsidR="00A971EB">
              <w:rPr>
                <w:rFonts w:ascii="Lato" w:hAnsi="Lato"/>
              </w:rPr>
              <w:t xml:space="preserve">erm </w:t>
            </w:r>
            <w:r w:rsidR="0059784F">
              <w:rPr>
                <w:rFonts w:ascii="Lato" w:hAnsi="Lato"/>
              </w:rPr>
              <w:t>m</w:t>
            </w:r>
            <w:r w:rsidR="00A971EB">
              <w:rPr>
                <w:rFonts w:ascii="Lato" w:hAnsi="Lato"/>
              </w:rPr>
              <w:t xml:space="preserve">oney </w:t>
            </w:r>
            <w:r w:rsidR="0059784F">
              <w:rPr>
                <w:rFonts w:ascii="Lato" w:hAnsi="Lato"/>
              </w:rPr>
              <w:t>m</w:t>
            </w:r>
            <w:r w:rsidR="00A971EB">
              <w:rPr>
                <w:rFonts w:ascii="Lato" w:hAnsi="Lato"/>
              </w:rPr>
              <w:t xml:space="preserve">arket </w:t>
            </w:r>
          </w:p>
        </w:tc>
        <w:tc>
          <w:tcPr>
            <w:tcW w:w="819" w:type="dxa"/>
            <w:gridSpan w:val="2"/>
            <w:tcBorders>
              <w:top w:val="single" w:sz="4" w:space="0" w:color="auto"/>
              <w:left w:val="single" w:sz="4" w:space="0" w:color="auto"/>
              <w:bottom w:val="single" w:sz="4" w:space="0" w:color="auto"/>
              <w:right w:val="single" w:sz="4" w:space="0" w:color="auto"/>
            </w:tcBorders>
          </w:tcPr>
          <w:p w14:paraId="24721509" w14:textId="77777777" w:rsidR="00E53BF0" w:rsidRPr="004E6794" w:rsidRDefault="00E53BF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479DBE28" w14:textId="77777777" w:rsidR="00E53BF0" w:rsidRPr="004E6794" w:rsidRDefault="00E53BF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0994CDBD" w14:textId="77777777" w:rsidR="00E53BF0" w:rsidRPr="004E6794" w:rsidRDefault="00E53BF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CA590E5" w14:textId="77777777" w:rsidR="00E53BF0" w:rsidRPr="004E6794" w:rsidRDefault="00E53BF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6B474BC" w14:textId="77777777" w:rsidR="00E53BF0" w:rsidRPr="004E6794" w:rsidRDefault="00E53BF0" w:rsidP="00BC0730">
            <w:pPr>
              <w:spacing w:line="240" w:lineRule="auto"/>
              <w:jc w:val="both"/>
              <w:rPr>
                <w:rFonts w:ascii="Lato" w:hAnsi="Lato"/>
              </w:rPr>
            </w:pPr>
          </w:p>
        </w:tc>
        <w:tc>
          <w:tcPr>
            <w:tcW w:w="366" w:type="dxa"/>
            <w:tcBorders>
              <w:top w:val="nil"/>
              <w:left w:val="single" w:sz="4" w:space="0" w:color="auto"/>
              <w:bottom w:val="nil"/>
              <w:right w:val="nil"/>
            </w:tcBorders>
          </w:tcPr>
          <w:p w14:paraId="33EF3E71" w14:textId="77777777" w:rsidR="00E53BF0" w:rsidRPr="004E6794" w:rsidRDefault="00E53BF0" w:rsidP="00BC0730">
            <w:pPr>
              <w:spacing w:line="240" w:lineRule="auto"/>
              <w:jc w:val="both"/>
              <w:rPr>
                <w:rFonts w:ascii="Lato" w:hAnsi="Lato"/>
              </w:rPr>
            </w:pPr>
          </w:p>
        </w:tc>
        <w:tc>
          <w:tcPr>
            <w:tcW w:w="631" w:type="dxa"/>
            <w:gridSpan w:val="2"/>
            <w:tcBorders>
              <w:top w:val="nil"/>
              <w:left w:val="nil"/>
              <w:bottom w:val="nil"/>
              <w:right w:val="nil"/>
            </w:tcBorders>
          </w:tcPr>
          <w:p w14:paraId="7C3B4F56" w14:textId="77777777" w:rsidR="00E53BF0" w:rsidRPr="004E6794" w:rsidRDefault="00E53BF0" w:rsidP="00BC0730">
            <w:pPr>
              <w:spacing w:line="240" w:lineRule="auto"/>
              <w:jc w:val="both"/>
              <w:rPr>
                <w:rFonts w:ascii="Lato" w:hAnsi="Lato"/>
              </w:rPr>
            </w:pPr>
          </w:p>
        </w:tc>
      </w:tr>
      <w:tr w:rsidR="008709E3" w:rsidRPr="00226335" w14:paraId="760A8229" w14:textId="77777777" w:rsidTr="00BB6A7F">
        <w:tc>
          <w:tcPr>
            <w:tcW w:w="953" w:type="dxa"/>
            <w:gridSpan w:val="2"/>
            <w:tcBorders>
              <w:top w:val="nil"/>
              <w:left w:val="nil"/>
              <w:bottom w:val="nil"/>
              <w:right w:val="nil"/>
            </w:tcBorders>
          </w:tcPr>
          <w:p w14:paraId="12B1EBA5" w14:textId="77777777" w:rsidR="00A971EB" w:rsidRPr="0032593F" w:rsidRDefault="00A971EB" w:rsidP="00BC0730">
            <w:pPr>
              <w:spacing w:line="240" w:lineRule="auto"/>
              <w:jc w:val="both"/>
              <w:rPr>
                <w:rFonts w:ascii="Lato" w:hAnsi="Lato"/>
              </w:rPr>
            </w:pPr>
          </w:p>
        </w:tc>
        <w:tc>
          <w:tcPr>
            <w:tcW w:w="5294" w:type="dxa"/>
            <w:gridSpan w:val="3"/>
            <w:tcBorders>
              <w:top w:val="nil"/>
              <w:left w:val="nil"/>
              <w:bottom w:val="nil"/>
              <w:right w:val="nil"/>
            </w:tcBorders>
          </w:tcPr>
          <w:p w14:paraId="4EA9DF86" w14:textId="5C040F74" w:rsidR="00A971EB" w:rsidRDefault="0059784F" w:rsidP="00BC0730">
            <w:pPr>
              <w:spacing w:line="240" w:lineRule="auto"/>
              <w:rPr>
                <w:rFonts w:ascii="Lato" w:hAnsi="Lato"/>
              </w:rPr>
            </w:pPr>
            <w:r>
              <w:rPr>
                <w:rFonts w:ascii="Lato" w:hAnsi="Lato"/>
              </w:rPr>
              <w:t>f</w:t>
            </w:r>
            <w:r w:rsidR="007E3165">
              <w:rPr>
                <w:rFonts w:ascii="Lato" w:hAnsi="Lato"/>
              </w:rPr>
              <w:t>und</w:t>
            </w:r>
          </w:p>
        </w:tc>
        <w:tc>
          <w:tcPr>
            <w:tcW w:w="819" w:type="dxa"/>
            <w:gridSpan w:val="2"/>
            <w:tcBorders>
              <w:top w:val="single" w:sz="4" w:space="0" w:color="auto"/>
              <w:left w:val="nil"/>
              <w:bottom w:val="nil"/>
              <w:right w:val="nil"/>
            </w:tcBorders>
          </w:tcPr>
          <w:p w14:paraId="65F0F590" w14:textId="77777777" w:rsidR="00A971EB" w:rsidRPr="004E6794" w:rsidRDefault="00A971EB" w:rsidP="00BC0730">
            <w:pPr>
              <w:spacing w:line="240" w:lineRule="auto"/>
              <w:jc w:val="both"/>
              <w:rPr>
                <w:rFonts w:ascii="Lato" w:hAnsi="Lato"/>
              </w:rPr>
            </w:pPr>
          </w:p>
        </w:tc>
        <w:tc>
          <w:tcPr>
            <w:tcW w:w="356" w:type="dxa"/>
            <w:gridSpan w:val="2"/>
            <w:tcBorders>
              <w:top w:val="nil"/>
              <w:left w:val="nil"/>
              <w:bottom w:val="nil"/>
              <w:right w:val="nil"/>
            </w:tcBorders>
          </w:tcPr>
          <w:p w14:paraId="68098601" w14:textId="77777777" w:rsidR="00A971EB" w:rsidRPr="004E6794" w:rsidRDefault="00A971EB"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5066B565" w14:textId="77777777" w:rsidR="00A971EB" w:rsidRPr="004E6794" w:rsidRDefault="00A971EB" w:rsidP="00BC0730">
            <w:pPr>
              <w:spacing w:line="240" w:lineRule="auto"/>
              <w:jc w:val="both"/>
              <w:rPr>
                <w:rFonts w:ascii="Lato" w:hAnsi="Lato"/>
              </w:rPr>
            </w:pPr>
          </w:p>
        </w:tc>
        <w:tc>
          <w:tcPr>
            <w:tcW w:w="433" w:type="dxa"/>
            <w:gridSpan w:val="2"/>
            <w:tcBorders>
              <w:top w:val="nil"/>
              <w:left w:val="nil"/>
              <w:bottom w:val="nil"/>
              <w:right w:val="nil"/>
            </w:tcBorders>
          </w:tcPr>
          <w:p w14:paraId="0F49C627" w14:textId="77777777" w:rsidR="00A971EB" w:rsidRPr="004E6794" w:rsidRDefault="00A971EB"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C436D35" w14:textId="77777777" w:rsidR="00A971EB" w:rsidRPr="004E6794" w:rsidRDefault="00A971EB" w:rsidP="00BC0730">
            <w:pPr>
              <w:spacing w:line="240" w:lineRule="auto"/>
              <w:jc w:val="both"/>
              <w:rPr>
                <w:rFonts w:ascii="Lato" w:hAnsi="Lato"/>
              </w:rPr>
            </w:pPr>
          </w:p>
        </w:tc>
        <w:tc>
          <w:tcPr>
            <w:tcW w:w="366" w:type="dxa"/>
            <w:tcBorders>
              <w:top w:val="nil"/>
              <w:left w:val="nil"/>
              <w:bottom w:val="nil"/>
              <w:right w:val="nil"/>
            </w:tcBorders>
          </w:tcPr>
          <w:p w14:paraId="61C15614" w14:textId="77777777" w:rsidR="00A971EB" w:rsidRPr="004E6794" w:rsidRDefault="00A971EB" w:rsidP="00BC0730">
            <w:pPr>
              <w:spacing w:line="240" w:lineRule="auto"/>
              <w:jc w:val="both"/>
              <w:rPr>
                <w:rFonts w:ascii="Lato" w:hAnsi="Lato"/>
              </w:rPr>
            </w:pPr>
          </w:p>
        </w:tc>
        <w:tc>
          <w:tcPr>
            <w:tcW w:w="631" w:type="dxa"/>
            <w:gridSpan w:val="2"/>
            <w:tcBorders>
              <w:top w:val="nil"/>
              <w:left w:val="nil"/>
              <w:bottom w:val="nil"/>
              <w:right w:val="nil"/>
            </w:tcBorders>
          </w:tcPr>
          <w:p w14:paraId="51103693" w14:textId="77777777" w:rsidR="00A971EB" w:rsidRPr="004E6794" w:rsidRDefault="00A971EB" w:rsidP="00BC0730">
            <w:pPr>
              <w:spacing w:line="240" w:lineRule="auto"/>
              <w:jc w:val="both"/>
              <w:rPr>
                <w:rFonts w:ascii="Lato" w:hAnsi="Lato"/>
              </w:rPr>
            </w:pPr>
          </w:p>
        </w:tc>
      </w:tr>
      <w:tr w:rsidR="007E3165" w:rsidRPr="00226335" w14:paraId="1510EB2E" w14:textId="77777777" w:rsidTr="00BB6A7F">
        <w:tc>
          <w:tcPr>
            <w:tcW w:w="953" w:type="dxa"/>
            <w:gridSpan w:val="2"/>
            <w:tcBorders>
              <w:top w:val="nil"/>
              <w:left w:val="nil"/>
              <w:bottom w:val="nil"/>
              <w:right w:val="nil"/>
            </w:tcBorders>
          </w:tcPr>
          <w:p w14:paraId="247767FA"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13DCA7CE" w14:textId="77777777" w:rsidR="007E3165" w:rsidRDefault="007E3165" w:rsidP="00BC0730">
            <w:pPr>
              <w:spacing w:line="240" w:lineRule="auto"/>
              <w:rPr>
                <w:rFonts w:ascii="Lato" w:hAnsi="Lato"/>
              </w:rPr>
            </w:pPr>
          </w:p>
        </w:tc>
        <w:tc>
          <w:tcPr>
            <w:tcW w:w="819" w:type="dxa"/>
            <w:gridSpan w:val="2"/>
            <w:tcBorders>
              <w:top w:val="nil"/>
              <w:left w:val="nil"/>
              <w:bottom w:val="nil"/>
              <w:right w:val="nil"/>
            </w:tcBorders>
          </w:tcPr>
          <w:p w14:paraId="131E5657"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0DE30C8B" w14:textId="77777777" w:rsidR="007E3165" w:rsidRPr="004E6794" w:rsidRDefault="007E3165" w:rsidP="00BC0730">
            <w:pPr>
              <w:spacing w:line="240" w:lineRule="auto"/>
              <w:jc w:val="both"/>
              <w:rPr>
                <w:rFonts w:ascii="Lato" w:hAnsi="Lato"/>
              </w:rPr>
            </w:pPr>
          </w:p>
        </w:tc>
        <w:tc>
          <w:tcPr>
            <w:tcW w:w="1361" w:type="dxa"/>
            <w:gridSpan w:val="2"/>
            <w:tcBorders>
              <w:top w:val="nil"/>
              <w:left w:val="nil"/>
              <w:bottom w:val="nil"/>
              <w:right w:val="nil"/>
            </w:tcBorders>
          </w:tcPr>
          <w:p w14:paraId="5A64E82B"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6C2B91E2" w14:textId="77777777" w:rsidR="007E3165" w:rsidRPr="004E6794" w:rsidRDefault="007E3165" w:rsidP="00BC0730">
            <w:pPr>
              <w:spacing w:line="240" w:lineRule="auto"/>
              <w:jc w:val="both"/>
              <w:rPr>
                <w:rFonts w:ascii="Lato" w:hAnsi="Lato"/>
              </w:rPr>
            </w:pPr>
          </w:p>
        </w:tc>
        <w:tc>
          <w:tcPr>
            <w:tcW w:w="936" w:type="dxa"/>
            <w:gridSpan w:val="3"/>
            <w:tcBorders>
              <w:top w:val="nil"/>
              <w:left w:val="nil"/>
              <w:bottom w:val="nil"/>
              <w:right w:val="nil"/>
            </w:tcBorders>
          </w:tcPr>
          <w:p w14:paraId="5E888A41"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372CC2E5"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4B3D9884" w14:textId="77777777" w:rsidR="007E3165" w:rsidRPr="004E6794" w:rsidRDefault="007E3165" w:rsidP="00BC0730">
            <w:pPr>
              <w:spacing w:line="240" w:lineRule="auto"/>
              <w:jc w:val="both"/>
              <w:rPr>
                <w:rFonts w:ascii="Lato" w:hAnsi="Lato"/>
              </w:rPr>
            </w:pPr>
          </w:p>
        </w:tc>
      </w:tr>
      <w:tr w:rsidR="008709E3" w:rsidRPr="00226335" w14:paraId="3673D3B9" w14:textId="77777777" w:rsidTr="00BB6A7F">
        <w:tc>
          <w:tcPr>
            <w:tcW w:w="953" w:type="dxa"/>
            <w:gridSpan w:val="2"/>
            <w:tcBorders>
              <w:top w:val="nil"/>
              <w:left w:val="nil"/>
              <w:bottom w:val="nil"/>
              <w:right w:val="nil"/>
            </w:tcBorders>
          </w:tcPr>
          <w:p w14:paraId="0D3C8694" w14:textId="653D764C" w:rsidR="00A971EB" w:rsidRPr="0032593F" w:rsidRDefault="00F74987" w:rsidP="00BC0730">
            <w:pPr>
              <w:spacing w:line="240" w:lineRule="auto"/>
              <w:jc w:val="both"/>
              <w:rPr>
                <w:rFonts w:ascii="Lato" w:hAnsi="Lato"/>
              </w:rPr>
            </w:pPr>
            <w:r w:rsidRPr="0032593F">
              <w:rPr>
                <w:rFonts w:ascii="Lato" w:hAnsi="Lato"/>
              </w:rPr>
              <w:t>2.</w:t>
            </w:r>
            <w:r w:rsidR="009B2A77">
              <w:rPr>
                <w:rFonts w:ascii="Lato" w:hAnsi="Lato"/>
              </w:rPr>
              <w:t>8.2</w:t>
            </w:r>
          </w:p>
        </w:tc>
        <w:tc>
          <w:tcPr>
            <w:tcW w:w="5294" w:type="dxa"/>
            <w:gridSpan w:val="3"/>
            <w:tcBorders>
              <w:top w:val="nil"/>
              <w:left w:val="nil"/>
              <w:bottom w:val="nil"/>
              <w:right w:val="nil"/>
            </w:tcBorders>
          </w:tcPr>
          <w:p w14:paraId="660385A6" w14:textId="517B0607" w:rsidR="00A971EB" w:rsidRDefault="00A971EB" w:rsidP="00BC0730">
            <w:pPr>
              <w:spacing w:line="240" w:lineRule="auto"/>
              <w:rPr>
                <w:rFonts w:ascii="Lato" w:hAnsi="Lato"/>
              </w:rPr>
            </w:pPr>
            <w:r>
              <w:rPr>
                <w:rFonts w:ascii="Lato" w:hAnsi="Lato"/>
              </w:rPr>
              <w:t>Disclose whether the Money Market Fund is:</w:t>
            </w:r>
          </w:p>
        </w:tc>
        <w:tc>
          <w:tcPr>
            <w:tcW w:w="819" w:type="dxa"/>
            <w:gridSpan w:val="2"/>
            <w:tcBorders>
              <w:top w:val="nil"/>
              <w:left w:val="nil"/>
              <w:bottom w:val="single" w:sz="4" w:space="0" w:color="auto"/>
              <w:right w:val="nil"/>
            </w:tcBorders>
          </w:tcPr>
          <w:p w14:paraId="302B1FC0" w14:textId="77777777" w:rsidR="00A971EB" w:rsidRPr="004E6794" w:rsidRDefault="00A971EB" w:rsidP="00BC0730">
            <w:pPr>
              <w:spacing w:line="240" w:lineRule="auto"/>
              <w:jc w:val="both"/>
              <w:rPr>
                <w:rFonts w:ascii="Lato" w:hAnsi="Lato"/>
              </w:rPr>
            </w:pPr>
          </w:p>
        </w:tc>
        <w:tc>
          <w:tcPr>
            <w:tcW w:w="356" w:type="dxa"/>
            <w:gridSpan w:val="2"/>
            <w:tcBorders>
              <w:top w:val="nil"/>
              <w:left w:val="nil"/>
              <w:bottom w:val="nil"/>
              <w:right w:val="nil"/>
            </w:tcBorders>
          </w:tcPr>
          <w:p w14:paraId="016DD88E" w14:textId="77777777" w:rsidR="00A971EB" w:rsidRPr="004E6794" w:rsidRDefault="00A971EB"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6E195DDB" w14:textId="77777777" w:rsidR="00A971EB" w:rsidRPr="004E6794" w:rsidRDefault="00A971EB" w:rsidP="00BC0730">
            <w:pPr>
              <w:spacing w:line="240" w:lineRule="auto"/>
              <w:jc w:val="both"/>
              <w:rPr>
                <w:rFonts w:ascii="Lato" w:hAnsi="Lato"/>
              </w:rPr>
            </w:pPr>
          </w:p>
        </w:tc>
        <w:tc>
          <w:tcPr>
            <w:tcW w:w="433" w:type="dxa"/>
            <w:gridSpan w:val="2"/>
            <w:tcBorders>
              <w:top w:val="nil"/>
              <w:left w:val="nil"/>
              <w:bottom w:val="nil"/>
              <w:right w:val="nil"/>
            </w:tcBorders>
          </w:tcPr>
          <w:p w14:paraId="5E328315" w14:textId="77777777" w:rsidR="00A971EB" w:rsidRPr="004E6794" w:rsidRDefault="00A971EB"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52DBB0FE" w14:textId="77777777" w:rsidR="00A971EB" w:rsidRPr="004E6794" w:rsidRDefault="00A971EB" w:rsidP="00BC0730">
            <w:pPr>
              <w:spacing w:line="240" w:lineRule="auto"/>
              <w:jc w:val="both"/>
              <w:rPr>
                <w:rFonts w:ascii="Lato" w:hAnsi="Lato"/>
              </w:rPr>
            </w:pPr>
          </w:p>
        </w:tc>
        <w:tc>
          <w:tcPr>
            <w:tcW w:w="366" w:type="dxa"/>
            <w:tcBorders>
              <w:top w:val="nil"/>
              <w:left w:val="nil"/>
              <w:bottom w:val="nil"/>
              <w:right w:val="nil"/>
            </w:tcBorders>
          </w:tcPr>
          <w:p w14:paraId="5121DD7C" w14:textId="77777777" w:rsidR="00A971EB" w:rsidRPr="004E6794" w:rsidRDefault="00A971EB" w:rsidP="00BC0730">
            <w:pPr>
              <w:spacing w:line="240" w:lineRule="auto"/>
              <w:jc w:val="both"/>
              <w:rPr>
                <w:rFonts w:ascii="Lato" w:hAnsi="Lato"/>
              </w:rPr>
            </w:pPr>
          </w:p>
        </w:tc>
        <w:tc>
          <w:tcPr>
            <w:tcW w:w="631" w:type="dxa"/>
            <w:gridSpan w:val="2"/>
            <w:tcBorders>
              <w:top w:val="nil"/>
              <w:left w:val="nil"/>
              <w:bottom w:val="nil"/>
              <w:right w:val="nil"/>
            </w:tcBorders>
          </w:tcPr>
          <w:p w14:paraId="1B3AB664" w14:textId="77777777" w:rsidR="00A971EB" w:rsidRPr="004E6794" w:rsidRDefault="00A971EB" w:rsidP="00BC0730">
            <w:pPr>
              <w:spacing w:line="240" w:lineRule="auto"/>
              <w:jc w:val="both"/>
              <w:rPr>
                <w:rFonts w:ascii="Lato" w:hAnsi="Lato"/>
              </w:rPr>
            </w:pPr>
          </w:p>
        </w:tc>
      </w:tr>
      <w:tr w:rsidR="008709E3" w:rsidRPr="00226335" w14:paraId="27C23FAB" w14:textId="77777777" w:rsidTr="00BB6A7F">
        <w:tc>
          <w:tcPr>
            <w:tcW w:w="953" w:type="dxa"/>
            <w:gridSpan w:val="2"/>
            <w:tcBorders>
              <w:top w:val="nil"/>
              <w:left w:val="nil"/>
              <w:bottom w:val="nil"/>
              <w:right w:val="nil"/>
            </w:tcBorders>
          </w:tcPr>
          <w:p w14:paraId="1B778DFE" w14:textId="77777777" w:rsidR="00E34C8E" w:rsidRPr="0032593F" w:rsidRDefault="00E34C8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548F07B0" w14:textId="01F02797" w:rsidR="00E34C8E" w:rsidRPr="007B13FE" w:rsidRDefault="00B62D1B" w:rsidP="007B13FE">
            <w:pPr>
              <w:pStyle w:val="ListParagraph"/>
              <w:numPr>
                <w:ilvl w:val="0"/>
                <w:numId w:val="81"/>
              </w:numPr>
              <w:spacing w:line="240" w:lineRule="auto"/>
              <w:rPr>
                <w:rFonts w:ascii="Lato" w:hAnsi="Lato"/>
              </w:rPr>
            </w:pPr>
            <w:r>
              <w:rPr>
                <w:rFonts w:ascii="Lato" w:hAnsi="Lato"/>
              </w:rPr>
              <w:t>a</w:t>
            </w:r>
            <w:r w:rsidR="00E34C8E">
              <w:rPr>
                <w:rFonts w:ascii="Lato" w:hAnsi="Lato"/>
              </w:rPr>
              <w:t xml:space="preserve"> variable NAV money market fund</w:t>
            </w:r>
          </w:p>
        </w:tc>
        <w:tc>
          <w:tcPr>
            <w:tcW w:w="819" w:type="dxa"/>
            <w:gridSpan w:val="2"/>
            <w:tcBorders>
              <w:top w:val="single" w:sz="4" w:space="0" w:color="auto"/>
              <w:left w:val="single" w:sz="4" w:space="0" w:color="auto"/>
              <w:bottom w:val="single" w:sz="4" w:space="0" w:color="auto"/>
              <w:right w:val="single" w:sz="4" w:space="0" w:color="auto"/>
            </w:tcBorders>
          </w:tcPr>
          <w:p w14:paraId="0E26D08B" w14:textId="77777777" w:rsidR="00E34C8E" w:rsidRPr="004E6794" w:rsidRDefault="00E34C8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021B23AA" w14:textId="77777777" w:rsidR="00E34C8E" w:rsidRPr="004E6794" w:rsidRDefault="00E34C8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6633E8F4" w14:textId="77777777" w:rsidR="00E34C8E" w:rsidRPr="004E6794" w:rsidRDefault="00E34C8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707CBB52" w14:textId="77777777" w:rsidR="00E34C8E" w:rsidRPr="004E6794" w:rsidRDefault="00E34C8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7C2B3218" w14:textId="77777777" w:rsidR="00E34C8E" w:rsidRPr="004E6794" w:rsidRDefault="00E34C8E" w:rsidP="00BC0730">
            <w:pPr>
              <w:spacing w:line="240" w:lineRule="auto"/>
              <w:jc w:val="both"/>
              <w:rPr>
                <w:rFonts w:ascii="Lato" w:hAnsi="Lato"/>
              </w:rPr>
            </w:pPr>
          </w:p>
        </w:tc>
        <w:tc>
          <w:tcPr>
            <w:tcW w:w="366" w:type="dxa"/>
            <w:tcBorders>
              <w:top w:val="nil"/>
              <w:left w:val="single" w:sz="4" w:space="0" w:color="auto"/>
              <w:bottom w:val="nil"/>
              <w:right w:val="nil"/>
            </w:tcBorders>
          </w:tcPr>
          <w:p w14:paraId="202DC5EC" w14:textId="77777777" w:rsidR="00E34C8E" w:rsidRPr="004E6794" w:rsidRDefault="00E34C8E" w:rsidP="00BC0730">
            <w:pPr>
              <w:spacing w:line="240" w:lineRule="auto"/>
              <w:jc w:val="both"/>
              <w:rPr>
                <w:rFonts w:ascii="Lato" w:hAnsi="Lato"/>
              </w:rPr>
            </w:pPr>
          </w:p>
        </w:tc>
        <w:tc>
          <w:tcPr>
            <w:tcW w:w="631" w:type="dxa"/>
            <w:gridSpan w:val="2"/>
            <w:tcBorders>
              <w:top w:val="nil"/>
              <w:left w:val="nil"/>
              <w:bottom w:val="nil"/>
              <w:right w:val="nil"/>
            </w:tcBorders>
          </w:tcPr>
          <w:p w14:paraId="170EA450" w14:textId="77777777" w:rsidR="00E34C8E" w:rsidRPr="004E6794" w:rsidRDefault="00E34C8E" w:rsidP="00BC0730">
            <w:pPr>
              <w:spacing w:line="240" w:lineRule="auto"/>
              <w:jc w:val="both"/>
              <w:rPr>
                <w:rFonts w:ascii="Lato" w:hAnsi="Lato"/>
              </w:rPr>
            </w:pPr>
          </w:p>
        </w:tc>
      </w:tr>
      <w:tr w:rsidR="008709E3" w:rsidRPr="00226335" w14:paraId="70935535" w14:textId="77777777" w:rsidTr="00BB6A7F">
        <w:tc>
          <w:tcPr>
            <w:tcW w:w="953" w:type="dxa"/>
            <w:gridSpan w:val="2"/>
            <w:tcBorders>
              <w:top w:val="nil"/>
              <w:left w:val="nil"/>
              <w:bottom w:val="nil"/>
              <w:right w:val="nil"/>
            </w:tcBorders>
          </w:tcPr>
          <w:p w14:paraId="04B14B60" w14:textId="77777777" w:rsidR="00E34C8E" w:rsidRPr="0032593F" w:rsidRDefault="00E34C8E"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20A551FB" w14:textId="752B877F" w:rsidR="00E34C8E" w:rsidRPr="007B13FE" w:rsidRDefault="00B62D1B" w:rsidP="007B13FE">
            <w:pPr>
              <w:pStyle w:val="ListParagraph"/>
              <w:numPr>
                <w:ilvl w:val="0"/>
                <w:numId w:val="81"/>
              </w:numPr>
              <w:spacing w:line="240" w:lineRule="auto"/>
              <w:rPr>
                <w:rFonts w:ascii="Lato" w:hAnsi="Lato"/>
              </w:rPr>
            </w:pPr>
            <w:r>
              <w:rPr>
                <w:rFonts w:ascii="Lato" w:hAnsi="Lato"/>
              </w:rPr>
              <w:t>a</w:t>
            </w:r>
            <w:r w:rsidR="000C1792">
              <w:rPr>
                <w:rFonts w:ascii="Lato" w:hAnsi="Lato"/>
              </w:rPr>
              <w:t xml:space="preserve"> public debt constant NAV money market </w:t>
            </w:r>
          </w:p>
        </w:tc>
        <w:tc>
          <w:tcPr>
            <w:tcW w:w="819" w:type="dxa"/>
            <w:gridSpan w:val="2"/>
            <w:tcBorders>
              <w:top w:val="single" w:sz="4" w:space="0" w:color="auto"/>
              <w:left w:val="single" w:sz="4" w:space="0" w:color="auto"/>
              <w:bottom w:val="single" w:sz="4" w:space="0" w:color="auto"/>
              <w:right w:val="single" w:sz="4" w:space="0" w:color="auto"/>
            </w:tcBorders>
          </w:tcPr>
          <w:p w14:paraId="0146D531" w14:textId="77777777" w:rsidR="00E34C8E" w:rsidRPr="004E6794" w:rsidRDefault="00E34C8E"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56D6576" w14:textId="77777777" w:rsidR="00E34C8E" w:rsidRPr="004E6794" w:rsidRDefault="00E34C8E"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20DA1D3D" w14:textId="77777777" w:rsidR="00E34C8E" w:rsidRPr="004E6794" w:rsidRDefault="00E34C8E"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AA06312" w14:textId="77777777" w:rsidR="00E34C8E" w:rsidRPr="004E6794" w:rsidRDefault="00E34C8E"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26058AAF" w14:textId="77777777" w:rsidR="00E34C8E" w:rsidRPr="004E6794" w:rsidRDefault="00E34C8E" w:rsidP="00BC0730">
            <w:pPr>
              <w:spacing w:line="240" w:lineRule="auto"/>
              <w:jc w:val="both"/>
              <w:rPr>
                <w:rFonts w:ascii="Lato" w:hAnsi="Lato"/>
              </w:rPr>
            </w:pPr>
          </w:p>
        </w:tc>
        <w:tc>
          <w:tcPr>
            <w:tcW w:w="366" w:type="dxa"/>
            <w:tcBorders>
              <w:top w:val="nil"/>
              <w:left w:val="single" w:sz="4" w:space="0" w:color="auto"/>
              <w:bottom w:val="nil"/>
              <w:right w:val="nil"/>
            </w:tcBorders>
          </w:tcPr>
          <w:p w14:paraId="3DA63557" w14:textId="77777777" w:rsidR="00E34C8E" w:rsidRPr="004E6794" w:rsidRDefault="00E34C8E" w:rsidP="00BC0730">
            <w:pPr>
              <w:spacing w:line="240" w:lineRule="auto"/>
              <w:jc w:val="both"/>
              <w:rPr>
                <w:rFonts w:ascii="Lato" w:hAnsi="Lato"/>
              </w:rPr>
            </w:pPr>
          </w:p>
        </w:tc>
        <w:tc>
          <w:tcPr>
            <w:tcW w:w="631" w:type="dxa"/>
            <w:gridSpan w:val="2"/>
            <w:tcBorders>
              <w:top w:val="nil"/>
              <w:left w:val="nil"/>
              <w:bottom w:val="nil"/>
              <w:right w:val="nil"/>
            </w:tcBorders>
          </w:tcPr>
          <w:p w14:paraId="2C59154F" w14:textId="77777777" w:rsidR="00E34C8E" w:rsidRPr="004E6794" w:rsidRDefault="00E34C8E" w:rsidP="00BC0730">
            <w:pPr>
              <w:spacing w:line="240" w:lineRule="auto"/>
              <w:jc w:val="both"/>
              <w:rPr>
                <w:rFonts w:ascii="Lato" w:hAnsi="Lato"/>
              </w:rPr>
            </w:pPr>
          </w:p>
        </w:tc>
      </w:tr>
      <w:tr w:rsidR="00A971EB" w:rsidRPr="00226335" w14:paraId="79B423D8" w14:textId="77777777" w:rsidTr="00BB6A7F">
        <w:tc>
          <w:tcPr>
            <w:tcW w:w="953" w:type="dxa"/>
            <w:gridSpan w:val="2"/>
            <w:tcBorders>
              <w:top w:val="nil"/>
              <w:left w:val="nil"/>
              <w:bottom w:val="nil"/>
              <w:right w:val="nil"/>
            </w:tcBorders>
          </w:tcPr>
          <w:p w14:paraId="2466DC55" w14:textId="77777777" w:rsidR="00A971EB" w:rsidRPr="0032593F" w:rsidRDefault="00A971EB" w:rsidP="00BC0730">
            <w:pPr>
              <w:spacing w:line="240" w:lineRule="auto"/>
              <w:jc w:val="both"/>
              <w:rPr>
                <w:rFonts w:ascii="Lato" w:hAnsi="Lato"/>
              </w:rPr>
            </w:pPr>
          </w:p>
        </w:tc>
        <w:tc>
          <w:tcPr>
            <w:tcW w:w="5294" w:type="dxa"/>
            <w:gridSpan w:val="3"/>
            <w:tcBorders>
              <w:top w:val="nil"/>
              <w:left w:val="nil"/>
              <w:bottom w:val="nil"/>
              <w:right w:val="nil"/>
            </w:tcBorders>
          </w:tcPr>
          <w:p w14:paraId="191F7F20" w14:textId="71CAF036" w:rsidR="00A971EB" w:rsidRDefault="007A2C01">
            <w:pPr>
              <w:spacing w:line="240" w:lineRule="auto"/>
              <w:rPr>
                <w:rFonts w:ascii="Lato" w:hAnsi="Lato"/>
              </w:rPr>
            </w:pPr>
            <w:r>
              <w:rPr>
                <w:rFonts w:ascii="Lato" w:hAnsi="Lato"/>
              </w:rPr>
              <w:t xml:space="preserve">                </w:t>
            </w:r>
            <w:r w:rsidR="007E3165">
              <w:rPr>
                <w:rFonts w:ascii="Lato" w:hAnsi="Lato"/>
              </w:rPr>
              <w:t xml:space="preserve">fund </w:t>
            </w:r>
          </w:p>
        </w:tc>
        <w:tc>
          <w:tcPr>
            <w:tcW w:w="819" w:type="dxa"/>
            <w:gridSpan w:val="2"/>
            <w:tcBorders>
              <w:top w:val="single" w:sz="4" w:space="0" w:color="auto"/>
              <w:left w:val="nil"/>
              <w:bottom w:val="nil"/>
              <w:right w:val="nil"/>
            </w:tcBorders>
          </w:tcPr>
          <w:p w14:paraId="685CA4B9" w14:textId="77777777" w:rsidR="00A971EB" w:rsidRPr="004E6794" w:rsidRDefault="00A971EB" w:rsidP="00BC0730">
            <w:pPr>
              <w:spacing w:line="240" w:lineRule="auto"/>
              <w:jc w:val="both"/>
              <w:rPr>
                <w:rFonts w:ascii="Lato" w:hAnsi="Lato"/>
              </w:rPr>
            </w:pPr>
          </w:p>
        </w:tc>
        <w:tc>
          <w:tcPr>
            <w:tcW w:w="356" w:type="dxa"/>
            <w:gridSpan w:val="2"/>
            <w:tcBorders>
              <w:top w:val="nil"/>
              <w:left w:val="nil"/>
              <w:bottom w:val="nil"/>
              <w:right w:val="nil"/>
            </w:tcBorders>
          </w:tcPr>
          <w:p w14:paraId="45282C97" w14:textId="77777777" w:rsidR="00A971EB" w:rsidRPr="004E6794" w:rsidRDefault="00A971EB"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31437F76" w14:textId="77777777" w:rsidR="00A971EB" w:rsidRPr="004E6794" w:rsidRDefault="00A971EB" w:rsidP="00BC0730">
            <w:pPr>
              <w:spacing w:line="240" w:lineRule="auto"/>
              <w:jc w:val="both"/>
              <w:rPr>
                <w:rFonts w:ascii="Lato" w:hAnsi="Lato"/>
              </w:rPr>
            </w:pPr>
          </w:p>
        </w:tc>
        <w:tc>
          <w:tcPr>
            <w:tcW w:w="433" w:type="dxa"/>
            <w:gridSpan w:val="2"/>
            <w:tcBorders>
              <w:top w:val="nil"/>
              <w:left w:val="nil"/>
              <w:bottom w:val="nil"/>
              <w:right w:val="nil"/>
            </w:tcBorders>
          </w:tcPr>
          <w:p w14:paraId="057DAD35" w14:textId="77777777" w:rsidR="00A971EB" w:rsidRPr="004E6794" w:rsidRDefault="00A971EB"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416A8DD7" w14:textId="77777777" w:rsidR="00A971EB" w:rsidRPr="004E6794" w:rsidRDefault="00A971EB" w:rsidP="00BC0730">
            <w:pPr>
              <w:spacing w:line="240" w:lineRule="auto"/>
              <w:jc w:val="both"/>
              <w:rPr>
                <w:rFonts w:ascii="Lato" w:hAnsi="Lato"/>
              </w:rPr>
            </w:pPr>
          </w:p>
        </w:tc>
        <w:tc>
          <w:tcPr>
            <w:tcW w:w="366" w:type="dxa"/>
            <w:tcBorders>
              <w:top w:val="nil"/>
              <w:left w:val="nil"/>
              <w:bottom w:val="nil"/>
              <w:right w:val="nil"/>
            </w:tcBorders>
          </w:tcPr>
          <w:p w14:paraId="2FD044CD" w14:textId="77777777" w:rsidR="00A971EB" w:rsidRPr="004E6794" w:rsidRDefault="00A971EB" w:rsidP="00BC0730">
            <w:pPr>
              <w:spacing w:line="240" w:lineRule="auto"/>
              <w:jc w:val="both"/>
              <w:rPr>
                <w:rFonts w:ascii="Lato" w:hAnsi="Lato"/>
              </w:rPr>
            </w:pPr>
          </w:p>
        </w:tc>
        <w:tc>
          <w:tcPr>
            <w:tcW w:w="631" w:type="dxa"/>
            <w:gridSpan w:val="2"/>
            <w:tcBorders>
              <w:top w:val="nil"/>
              <w:left w:val="nil"/>
              <w:bottom w:val="nil"/>
              <w:right w:val="nil"/>
            </w:tcBorders>
          </w:tcPr>
          <w:p w14:paraId="63EC4230" w14:textId="77777777" w:rsidR="00A971EB" w:rsidRPr="004E6794" w:rsidRDefault="00A971EB" w:rsidP="00BC0730">
            <w:pPr>
              <w:spacing w:line="240" w:lineRule="auto"/>
              <w:jc w:val="both"/>
              <w:rPr>
                <w:rFonts w:ascii="Lato" w:hAnsi="Lato"/>
              </w:rPr>
            </w:pPr>
          </w:p>
        </w:tc>
      </w:tr>
      <w:tr w:rsidR="007E3165" w:rsidRPr="00226335" w14:paraId="75A0E73B" w14:textId="77777777" w:rsidTr="00BB6A7F">
        <w:tc>
          <w:tcPr>
            <w:tcW w:w="953" w:type="dxa"/>
            <w:gridSpan w:val="2"/>
            <w:tcBorders>
              <w:top w:val="nil"/>
              <w:left w:val="nil"/>
              <w:bottom w:val="nil"/>
              <w:right w:val="nil"/>
            </w:tcBorders>
          </w:tcPr>
          <w:p w14:paraId="00FE33E1" w14:textId="77777777" w:rsidR="007E3165" w:rsidRPr="0032593F"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3319016D" w14:textId="00EC44D4" w:rsidR="007E3165" w:rsidRDefault="00572FC6" w:rsidP="00BC0730">
            <w:pPr>
              <w:spacing w:line="240" w:lineRule="auto"/>
              <w:rPr>
                <w:rFonts w:ascii="Lato" w:hAnsi="Lato"/>
              </w:rPr>
            </w:pPr>
            <w:r>
              <w:rPr>
                <w:rFonts w:ascii="Lato" w:hAnsi="Lato"/>
              </w:rPr>
              <w:t xml:space="preserve">         </w:t>
            </w:r>
            <w:r w:rsidR="007E3165">
              <w:rPr>
                <w:rFonts w:ascii="Lato" w:hAnsi="Lato"/>
              </w:rPr>
              <w:t>or</w:t>
            </w:r>
          </w:p>
        </w:tc>
        <w:tc>
          <w:tcPr>
            <w:tcW w:w="819" w:type="dxa"/>
            <w:gridSpan w:val="2"/>
            <w:tcBorders>
              <w:top w:val="nil"/>
              <w:left w:val="nil"/>
              <w:bottom w:val="single" w:sz="4" w:space="0" w:color="auto"/>
              <w:right w:val="nil"/>
            </w:tcBorders>
          </w:tcPr>
          <w:p w14:paraId="61587F66"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1B1C585E" w14:textId="77777777" w:rsidR="007E3165" w:rsidRPr="004E6794" w:rsidRDefault="007E3165"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2976C3F3"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4C4804CA" w14:textId="77777777" w:rsidR="007E3165" w:rsidRPr="004E6794" w:rsidRDefault="007E3165"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01EC861D"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69E1BA02"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13A9D6C4" w14:textId="77777777" w:rsidR="007E3165" w:rsidRPr="004E6794" w:rsidRDefault="007E3165" w:rsidP="00BC0730">
            <w:pPr>
              <w:spacing w:line="240" w:lineRule="auto"/>
              <w:jc w:val="both"/>
              <w:rPr>
                <w:rFonts w:ascii="Lato" w:hAnsi="Lato"/>
              </w:rPr>
            </w:pPr>
          </w:p>
        </w:tc>
      </w:tr>
      <w:tr w:rsidR="008709E3" w:rsidRPr="00226335" w14:paraId="1CC5E46E" w14:textId="77777777" w:rsidTr="00BB6A7F">
        <w:tc>
          <w:tcPr>
            <w:tcW w:w="953" w:type="dxa"/>
            <w:gridSpan w:val="2"/>
            <w:tcBorders>
              <w:top w:val="nil"/>
              <w:left w:val="nil"/>
              <w:bottom w:val="nil"/>
              <w:right w:val="nil"/>
            </w:tcBorders>
          </w:tcPr>
          <w:p w14:paraId="5B06A880" w14:textId="77777777" w:rsidR="007A2C01" w:rsidRPr="0032593F" w:rsidRDefault="007A2C01"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297B10F1" w14:textId="21FA0375" w:rsidR="007A2C01" w:rsidRPr="007B13FE" w:rsidRDefault="00B62D1B" w:rsidP="007B13FE">
            <w:pPr>
              <w:pStyle w:val="ListParagraph"/>
              <w:numPr>
                <w:ilvl w:val="0"/>
                <w:numId w:val="81"/>
              </w:numPr>
              <w:spacing w:line="240" w:lineRule="auto"/>
              <w:rPr>
                <w:rFonts w:ascii="Lato" w:hAnsi="Lato"/>
              </w:rPr>
            </w:pPr>
            <w:r>
              <w:rPr>
                <w:rFonts w:ascii="Lato" w:hAnsi="Lato"/>
              </w:rPr>
              <w:t>a</w:t>
            </w:r>
            <w:r w:rsidR="007A2C01">
              <w:rPr>
                <w:rFonts w:ascii="Lato" w:hAnsi="Lato"/>
              </w:rPr>
              <w:t xml:space="preserve"> low volatility NAV money market fund</w:t>
            </w:r>
          </w:p>
        </w:tc>
        <w:tc>
          <w:tcPr>
            <w:tcW w:w="819" w:type="dxa"/>
            <w:gridSpan w:val="2"/>
            <w:tcBorders>
              <w:top w:val="single" w:sz="4" w:space="0" w:color="auto"/>
              <w:left w:val="single" w:sz="4" w:space="0" w:color="auto"/>
              <w:bottom w:val="single" w:sz="4" w:space="0" w:color="auto"/>
              <w:right w:val="single" w:sz="4" w:space="0" w:color="auto"/>
            </w:tcBorders>
          </w:tcPr>
          <w:p w14:paraId="7145AA3D" w14:textId="77777777" w:rsidR="007A2C01" w:rsidRPr="004E6794" w:rsidRDefault="007A2C01"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18A0EB4F" w14:textId="77777777" w:rsidR="007A2C01" w:rsidRPr="004E6794" w:rsidRDefault="007A2C01"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707006FE" w14:textId="77777777" w:rsidR="007A2C01" w:rsidRPr="004E6794" w:rsidRDefault="007A2C01"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14C9418D" w14:textId="77777777" w:rsidR="007A2C01" w:rsidRPr="004E6794" w:rsidRDefault="007A2C01"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07E47AB2" w14:textId="77777777" w:rsidR="007A2C01" w:rsidRPr="004E6794" w:rsidRDefault="007A2C01" w:rsidP="00BC0730">
            <w:pPr>
              <w:spacing w:line="240" w:lineRule="auto"/>
              <w:jc w:val="both"/>
              <w:rPr>
                <w:rFonts w:ascii="Lato" w:hAnsi="Lato"/>
              </w:rPr>
            </w:pPr>
          </w:p>
        </w:tc>
        <w:tc>
          <w:tcPr>
            <w:tcW w:w="366" w:type="dxa"/>
            <w:tcBorders>
              <w:top w:val="nil"/>
              <w:left w:val="single" w:sz="4" w:space="0" w:color="auto"/>
              <w:bottom w:val="nil"/>
              <w:right w:val="nil"/>
            </w:tcBorders>
          </w:tcPr>
          <w:p w14:paraId="6343A22E" w14:textId="77777777" w:rsidR="007A2C01" w:rsidRPr="004E6794" w:rsidRDefault="007A2C01" w:rsidP="00BC0730">
            <w:pPr>
              <w:spacing w:line="240" w:lineRule="auto"/>
              <w:jc w:val="both"/>
              <w:rPr>
                <w:rFonts w:ascii="Lato" w:hAnsi="Lato"/>
              </w:rPr>
            </w:pPr>
          </w:p>
        </w:tc>
        <w:tc>
          <w:tcPr>
            <w:tcW w:w="631" w:type="dxa"/>
            <w:gridSpan w:val="2"/>
            <w:tcBorders>
              <w:top w:val="nil"/>
              <w:left w:val="nil"/>
              <w:bottom w:val="nil"/>
              <w:right w:val="nil"/>
            </w:tcBorders>
          </w:tcPr>
          <w:p w14:paraId="34B19C4C" w14:textId="77777777" w:rsidR="007A2C01" w:rsidRPr="004E6794" w:rsidRDefault="007A2C01" w:rsidP="00BC0730">
            <w:pPr>
              <w:spacing w:line="240" w:lineRule="auto"/>
              <w:jc w:val="both"/>
              <w:rPr>
                <w:rFonts w:ascii="Lato" w:hAnsi="Lato"/>
              </w:rPr>
            </w:pPr>
          </w:p>
        </w:tc>
      </w:tr>
      <w:tr w:rsidR="008709E3" w:rsidRPr="00226335" w14:paraId="1C4ED543" w14:textId="77777777" w:rsidTr="00BB6A7F">
        <w:tc>
          <w:tcPr>
            <w:tcW w:w="953" w:type="dxa"/>
            <w:gridSpan w:val="2"/>
            <w:tcBorders>
              <w:top w:val="nil"/>
              <w:left w:val="nil"/>
              <w:bottom w:val="nil"/>
              <w:right w:val="nil"/>
            </w:tcBorders>
          </w:tcPr>
          <w:p w14:paraId="6072C117" w14:textId="77777777" w:rsidR="007A2C01" w:rsidRPr="0032593F" w:rsidRDefault="007A2C01" w:rsidP="00BC0730">
            <w:pPr>
              <w:spacing w:line="240" w:lineRule="auto"/>
              <w:jc w:val="both"/>
              <w:rPr>
                <w:rFonts w:ascii="Lato" w:hAnsi="Lato"/>
              </w:rPr>
            </w:pPr>
          </w:p>
        </w:tc>
        <w:tc>
          <w:tcPr>
            <w:tcW w:w="5294" w:type="dxa"/>
            <w:gridSpan w:val="3"/>
            <w:tcBorders>
              <w:top w:val="nil"/>
              <w:left w:val="nil"/>
              <w:bottom w:val="nil"/>
              <w:right w:val="nil"/>
            </w:tcBorders>
          </w:tcPr>
          <w:p w14:paraId="2D668538" w14:textId="77777777" w:rsidR="007A2C01" w:rsidRDefault="007A2C01" w:rsidP="00BC0730">
            <w:pPr>
              <w:spacing w:line="240" w:lineRule="auto"/>
              <w:rPr>
                <w:rFonts w:ascii="Lato" w:hAnsi="Lato"/>
              </w:rPr>
            </w:pPr>
          </w:p>
        </w:tc>
        <w:tc>
          <w:tcPr>
            <w:tcW w:w="819" w:type="dxa"/>
            <w:gridSpan w:val="2"/>
            <w:tcBorders>
              <w:top w:val="single" w:sz="4" w:space="0" w:color="auto"/>
              <w:left w:val="nil"/>
              <w:bottom w:val="nil"/>
              <w:right w:val="nil"/>
            </w:tcBorders>
          </w:tcPr>
          <w:p w14:paraId="51118478" w14:textId="77777777" w:rsidR="007A2C01" w:rsidRPr="004E6794" w:rsidRDefault="007A2C01" w:rsidP="00BC0730">
            <w:pPr>
              <w:spacing w:line="240" w:lineRule="auto"/>
              <w:jc w:val="both"/>
              <w:rPr>
                <w:rFonts w:ascii="Lato" w:hAnsi="Lato"/>
              </w:rPr>
            </w:pPr>
          </w:p>
        </w:tc>
        <w:tc>
          <w:tcPr>
            <w:tcW w:w="356" w:type="dxa"/>
            <w:gridSpan w:val="2"/>
            <w:tcBorders>
              <w:top w:val="nil"/>
              <w:left w:val="nil"/>
              <w:bottom w:val="nil"/>
              <w:right w:val="nil"/>
            </w:tcBorders>
          </w:tcPr>
          <w:p w14:paraId="2813C23E" w14:textId="77777777" w:rsidR="007A2C01" w:rsidRPr="004E6794" w:rsidRDefault="007A2C01"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190F856A" w14:textId="77777777" w:rsidR="007A2C01" w:rsidRPr="004E6794" w:rsidRDefault="007A2C01" w:rsidP="00BC0730">
            <w:pPr>
              <w:spacing w:line="240" w:lineRule="auto"/>
              <w:jc w:val="both"/>
              <w:rPr>
                <w:rFonts w:ascii="Lato" w:hAnsi="Lato"/>
              </w:rPr>
            </w:pPr>
          </w:p>
        </w:tc>
        <w:tc>
          <w:tcPr>
            <w:tcW w:w="433" w:type="dxa"/>
            <w:gridSpan w:val="2"/>
            <w:tcBorders>
              <w:top w:val="nil"/>
              <w:left w:val="nil"/>
              <w:bottom w:val="nil"/>
              <w:right w:val="nil"/>
            </w:tcBorders>
          </w:tcPr>
          <w:p w14:paraId="037DF287" w14:textId="77777777" w:rsidR="007A2C01" w:rsidRPr="004E6794" w:rsidRDefault="007A2C01"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1CDCF4E" w14:textId="77777777" w:rsidR="007A2C01" w:rsidRPr="004E6794" w:rsidRDefault="007A2C01" w:rsidP="00BC0730">
            <w:pPr>
              <w:spacing w:line="240" w:lineRule="auto"/>
              <w:jc w:val="both"/>
              <w:rPr>
                <w:rFonts w:ascii="Lato" w:hAnsi="Lato"/>
              </w:rPr>
            </w:pPr>
          </w:p>
        </w:tc>
        <w:tc>
          <w:tcPr>
            <w:tcW w:w="366" w:type="dxa"/>
            <w:tcBorders>
              <w:top w:val="nil"/>
              <w:left w:val="nil"/>
              <w:bottom w:val="nil"/>
              <w:right w:val="nil"/>
            </w:tcBorders>
          </w:tcPr>
          <w:p w14:paraId="1F96A7E6" w14:textId="77777777" w:rsidR="007A2C01" w:rsidRPr="004E6794" w:rsidRDefault="007A2C01" w:rsidP="00BC0730">
            <w:pPr>
              <w:spacing w:line="240" w:lineRule="auto"/>
              <w:jc w:val="both"/>
              <w:rPr>
                <w:rFonts w:ascii="Lato" w:hAnsi="Lato"/>
              </w:rPr>
            </w:pPr>
          </w:p>
        </w:tc>
        <w:tc>
          <w:tcPr>
            <w:tcW w:w="631" w:type="dxa"/>
            <w:gridSpan w:val="2"/>
            <w:tcBorders>
              <w:top w:val="nil"/>
              <w:left w:val="nil"/>
              <w:bottom w:val="nil"/>
              <w:right w:val="nil"/>
            </w:tcBorders>
          </w:tcPr>
          <w:p w14:paraId="71B3DDBF" w14:textId="77777777" w:rsidR="007A2C01" w:rsidRPr="004E6794" w:rsidRDefault="007A2C01" w:rsidP="00BC0730">
            <w:pPr>
              <w:spacing w:line="240" w:lineRule="auto"/>
              <w:jc w:val="both"/>
              <w:rPr>
                <w:rFonts w:ascii="Lato" w:hAnsi="Lato"/>
              </w:rPr>
            </w:pPr>
          </w:p>
        </w:tc>
      </w:tr>
      <w:tr w:rsidR="008709E3" w:rsidRPr="00226335" w14:paraId="35A6E34A" w14:textId="77777777" w:rsidTr="00BB6A7F">
        <w:tc>
          <w:tcPr>
            <w:tcW w:w="953" w:type="dxa"/>
            <w:gridSpan w:val="2"/>
            <w:tcBorders>
              <w:top w:val="nil"/>
              <w:left w:val="nil"/>
              <w:bottom w:val="nil"/>
              <w:right w:val="nil"/>
            </w:tcBorders>
          </w:tcPr>
          <w:p w14:paraId="0BF8A3D4" w14:textId="7580BEA8" w:rsidR="00F34A25" w:rsidRPr="0032593F" w:rsidRDefault="00F74987" w:rsidP="00BC0730">
            <w:pPr>
              <w:spacing w:line="240" w:lineRule="auto"/>
              <w:jc w:val="both"/>
              <w:rPr>
                <w:rFonts w:ascii="Lato" w:hAnsi="Lato"/>
              </w:rPr>
            </w:pPr>
            <w:r w:rsidRPr="0032593F">
              <w:rPr>
                <w:rFonts w:ascii="Lato" w:hAnsi="Lato"/>
              </w:rPr>
              <w:t>2.</w:t>
            </w:r>
            <w:r w:rsidR="009B2A77">
              <w:rPr>
                <w:rFonts w:ascii="Lato" w:hAnsi="Lato"/>
              </w:rPr>
              <w:t>9</w:t>
            </w:r>
          </w:p>
        </w:tc>
        <w:tc>
          <w:tcPr>
            <w:tcW w:w="5294" w:type="dxa"/>
            <w:gridSpan w:val="3"/>
            <w:tcBorders>
              <w:top w:val="nil"/>
              <w:left w:val="nil"/>
              <w:bottom w:val="nil"/>
              <w:right w:val="nil"/>
            </w:tcBorders>
          </w:tcPr>
          <w:p w14:paraId="5CB1A7D9" w14:textId="49B7ECFA" w:rsidR="00F34A25" w:rsidRPr="007B13FE" w:rsidRDefault="00C12880" w:rsidP="00BC0730">
            <w:pPr>
              <w:spacing w:line="240" w:lineRule="auto"/>
              <w:rPr>
                <w:rFonts w:ascii="Lato" w:hAnsi="Lato"/>
                <w:u w:val="single"/>
              </w:rPr>
            </w:pPr>
            <w:r w:rsidRPr="007B13FE">
              <w:rPr>
                <w:rFonts w:ascii="Lato" w:hAnsi="Lato"/>
                <w:u w:val="single"/>
              </w:rPr>
              <w:t xml:space="preserve">Public </w:t>
            </w:r>
            <w:r w:rsidR="00F33D89">
              <w:rPr>
                <w:rFonts w:ascii="Lato" w:hAnsi="Lato"/>
                <w:u w:val="single"/>
              </w:rPr>
              <w:t>D</w:t>
            </w:r>
            <w:r w:rsidRPr="007B13FE">
              <w:rPr>
                <w:rFonts w:ascii="Lato" w:hAnsi="Lato"/>
                <w:u w:val="single"/>
              </w:rPr>
              <w:t xml:space="preserve">ebt </w:t>
            </w:r>
            <w:r w:rsidR="00F33D89">
              <w:rPr>
                <w:rFonts w:ascii="Lato" w:hAnsi="Lato"/>
                <w:u w:val="single"/>
              </w:rPr>
              <w:t>C</w:t>
            </w:r>
            <w:r w:rsidRPr="007B13FE">
              <w:rPr>
                <w:rFonts w:ascii="Lato" w:hAnsi="Lato"/>
                <w:u w:val="single"/>
              </w:rPr>
              <w:t xml:space="preserve">onstant NAV </w:t>
            </w:r>
            <w:r w:rsidR="00F33D89">
              <w:rPr>
                <w:rFonts w:ascii="Lato" w:hAnsi="Lato"/>
                <w:u w:val="single"/>
              </w:rPr>
              <w:t>M</w:t>
            </w:r>
            <w:r w:rsidRPr="007B13FE">
              <w:rPr>
                <w:rFonts w:ascii="Lato" w:hAnsi="Lato"/>
                <w:u w:val="single"/>
              </w:rPr>
              <w:t xml:space="preserve">oney </w:t>
            </w:r>
            <w:r w:rsidR="00F33D89">
              <w:rPr>
                <w:rFonts w:ascii="Lato" w:hAnsi="Lato"/>
                <w:u w:val="single"/>
              </w:rPr>
              <w:t>M</w:t>
            </w:r>
            <w:r w:rsidRPr="007B13FE">
              <w:rPr>
                <w:rFonts w:ascii="Lato" w:hAnsi="Lato"/>
                <w:u w:val="single"/>
              </w:rPr>
              <w:t xml:space="preserve">arket </w:t>
            </w:r>
            <w:r w:rsidR="00F33D89">
              <w:rPr>
                <w:rFonts w:ascii="Lato" w:hAnsi="Lato"/>
                <w:u w:val="single"/>
              </w:rPr>
              <w:t>F</w:t>
            </w:r>
            <w:r w:rsidRPr="007B13FE">
              <w:rPr>
                <w:rFonts w:ascii="Lato" w:hAnsi="Lato"/>
                <w:u w:val="single"/>
              </w:rPr>
              <w:t>und</w:t>
            </w:r>
            <w:r>
              <w:rPr>
                <w:rFonts w:ascii="Lato" w:hAnsi="Lato"/>
                <w:u w:val="single"/>
              </w:rPr>
              <w:t xml:space="preserve"> and </w:t>
            </w:r>
            <w:r w:rsidR="00F33D89">
              <w:rPr>
                <w:rFonts w:ascii="Lato" w:hAnsi="Lato"/>
                <w:u w:val="single"/>
              </w:rPr>
              <w:t>L</w:t>
            </w:r>
            <w:r w:rsidRPr="0001272B">
              <w:rPr>
                <w:rFonts w:ascii="Lato" w:hAnsi="Lato"/>
                <w:u w:val="single"/>
              </w:rPr>
              <w:t xml:space="preserve">ow </w:t>
            </w:r>
            <w:r w:rsidR="00F33D89">
              <w:rPr>
                <w:rFonts w:ascii="Lato" w:hAnsi="Lato"/>
                <w:u w:val="single"/>
              </w:rPr>
              <w:t>V</w:t>
            </w:r>
            <w:r w:rsidRPr="0001272B">
              <w:rPr>
                <w:rFonts w:ascii="Lato" w:hAnsi="Lato"/>
                <w:u w:val="single"/>
              </w:rPr>
              <w:t xml:space="preserve">olatility NAV </w:t>
            </w:r>
            <w:r w:rsidR="00F33D89">
              <w:rPr>
                <w:rFonts w:ascii="Lato" w:hAnsi="Lato"/>
                <w:u w:val="single"/>
              </w:rPr>
              <w:t>M</w:t>
            </w:r>
            <w:r w:rsidRPr="0001272B">
              <w:rPr>
                <w:rFonts w:ascii="Lato" w:hAnsi="Lato"/>
                <w:u w:val="single"/>
              </w:rPr>
              <w:t xml:space="preserve">oney </w:t>
            </w:r>
            <w:r w:rsidR="00F33D89">
              <w:rPr>
                <w:rFonts w:ascii="Lato" w:hAnsi="Lato"/>
                <w:u w:val="single"/>
              </w:rPr>
              <w:t>M</w:t>
            </w:r>
            <w:r w:rsidRPr="0001272B">
              <w:rPr>
                <w:rFonts w:ascii="Lato" w:hAnsi="Lato"/>
                <w:u w:val="single"/>
              </w:rPr>
              <w:t xml:space="preserve">arket </w:t>
            </w:r>
            <w:r w:rsidR="00F33D89">
              <w:rPr>
                <w:rFonts w:ascii="Lato" w:hAnsi="Lato"/>
                <w:u w:val="single"/>
              </w:rPr>
              <w:t>F</w:t>
            </w:r>
            <w:r w:rsidRPr="0001272B">
              <w:rPr>
                <w:rFonts w:ascii="Lato" w:hAnsi="Lato"/>
                <w:u w:val="single"/>
              </w:rPr>
              <w:t>und</w:t>
            </w:r>
          </w:p>
        </w:tc>
        <w:tc>
          <w:tcPr>
            <w:tcW w:w="819" w:type="dxa"/>
            <w:gridSpan w:val="2"/>
            <w:tcBorders>
              <w:top w:val="nil"/>
              <w:left w:val="nil"/>
              <w:bottom w:val="single" w:sz="4" w:space="0" w:color="auto"/>
              <w:right w:val="nil"/>
            </w:tcBorders>
          </w:tcPr>
          <w:p w14:paraId="268113A3" w14:textId="77777777" w:rsidR="00F34A25" w:rsidRPr="004E6794" w:rsidRDefault="00F34A25" w:rsidP="00BC0730">
            <w:pPr>
              <w:spacing w:line="240" w:lineRule="auto"/>
              <w:jc w:val="both"/>
              <w:rPr>
                <w:rFonts w:ascii="Lato" w:hAnsi="Lato"/>
              </w:rPr>
            </w:pPr>
          </w:p>
        </w:tc>
        <w:tc>
          <w:tcPr>
            <w:tcW w:w="356" w:type="dxa"/>
            <w:gridSpan w:val="2"/>
            <w:tcBorders>
              <w:top w:val="nil"/>
              <w:left w:val="nil"/>
              <w:bottom w:val="nil"/>
              <w:right w:val="nil"/>
            </w:tcBorders>
          </w:tcPr>
          <w:p w14:paraId="40DB2BF5" w14:textId="77777777" w:rsidR="00F34A25" w:rsidRPr="004E6794" w:rsidRDefault="00F34A25"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33322461" w14:textId="77777777" w:rsidR="00F34A25" w:rsidRPr="004E6794" w:rsidRDefault="00F34A25" w:rsidP="00BC0730">
            <w:pPr>
              <w:spacing w:line="240" w:lineRule="auto"/>
              <w:jc w:val="both"/>
              <w:rPr>
                <w:rFonts w:ascii="Lato" w:hAnsi="Lato"/>
              </w:rPr>
            </w:pPr>
          </w:p>
        </w:tc>
        <w:tc>
          <w:tcPr>
            <w:tcW w:w="433" w:type="dxa"/>
            <w:gridSpan w:val="2"/>
            <w:tcBorders>
              <w:top w:val="nil"/>
              <w:left w:val="nil"/>
              <w:bottom w:val="nil"/>
              <w:right w:val="nil"/>
            </w:tcBorders>
          </w:tcPr>
          <w:p w14:paraId="25AA76EE" w14:textId="77777777" w:rsidR="00F34A25" w:rsidRPr="004E6794" w:rsidRDefault="00F34A25"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17A14C33" w14:textId="77777777" w:rsidR="00F34A25" w:rsidRPr="004E6794" w:rsidRDefault="00F34A25" w:rsidP="00BC0730">
            <w:pPr>
              <w:spacing w:line="240" w:lineRule="auto"/>
              <w:jc w:val="both"/>
              <w:rPr>
                <w:rFonts w:ascii="Lato" w:hAnsi="Lato"/>
              </w:rPr>
            </w:pPr>
          </w:p>
        </w:tc>
        <w:tc>
          <w:tcPr>
            <w:tcW w:w="366" w:type="dxa"/>
            <w:tcBorders>
              <w:top w:val="nil"/>
              <w:left w:val="nil"/>
              <w:bottom w:val="nil"/>
              <w:right w:val="nil"/>
            </w:tcBorders>
          </w:tcPr>
          <w:p w14:paraId="21F4FBCC" w14:textId="77777777" w:rsidR="00F34A25" w:rsidRPr="004E6794" w:rsidRDefault="00F34A25" w:rsidP="00BC0730">
            <w:pPr>
              <w:spacing w:line="240" w:lineRule="auto"/>
              <w:jc w:val="both"/>
              <w:rPr>
                <w:rFonts w:ascii="Lato" w:hAnsi="Lato"/>
              </w:rPr>
            </w:pPr>
          </w:p>
        </w:tc>
        <w:tc>
          <w:tcPr>
            <w:tcW w:w="631" w:type="dxa"/>
            <w:gridSpan w:val="2"/>
            <w:tcBorders>
              <w:top w:val="nil"/>
              <w:left w:val="nil"/>
              <w:bottom w:val="nil"/>
              <w:right w:val="nil"/>
            </w:tcBorders>
          </w:tcPr>
          <w:p w14:paraId="4E6C8E96" w14:textId="77777777" w:rsidR="00F34A25" w:rsidRPr="004E6794" w:rsidRDefault="00F34A25" w:rsidP="00BC0730">
            <w:pPr>
              <w:spacing w:line="240" w:lineRule="auto"/>
              <w:jc w:val="both"/>
              <w:rPr>
                <w:rFonts w:ascii="Lato" w:hAnsi="Lato"/>
              </w:rPr>
            </w:pPr>
          </w:p>
        </w:tc>
      </w:tr>
      <w:tr w:rsidR="008709E3" w:rsidRPr="00226335" w14:paraId="78EBC333" w14:textId="77777777" w:rsidTr="00BB6A7F">
        <w:tc>
          <w:tcPr>
            <w:tcW w:w="953" w:type="dxa"/>
            <w:gridSpan w:val="2"/>
            <w:tcBorders>
              <w:top w:val="nil"/>
              <w:left w:val="nil"/>
              <w:bottom w:val="nil"/>
              <w:right w:val="nil"/>
            </w:tcBorders>
          </w:tcPr>
          <w:p w14:paraId="5490D6C4" w14:textId="38B86052" w:rsidR="00F34A25" w:rsidRDefault="009B2A77" w:rsidP="00BC0730">
            <w:pPr>
              <w:spacing w:line="240" w:lineRule="auto"/>
              <w:jc w:val="both"/>
              <w:rPr>
                <w:rFonts w:ascii="Lato" w:hAnsi="Lato"/>
              </w:rPr>
            </w:pPr>
            <w:r>
              <w:rPr>
                <w:rFonts w:ascii="Lato" w:hAnsi="Lato"/>
              </w:rPr>
              <w:t>2.9</w:t>
            </w:r>
            <w:r w:rsidR="00BD0F86">
              <w:rPr>
                <w:rFonts w:ascii="Lato" w:hAnsi="Lato"/>
              </w:rPr>
              <w:t>.1</w:t>
            </w:r>
          </w:p>
        </w:tc>
        <w:tc>
          <w:tcPr>
            <w:tcW w:w="5294" w:type="dxa"/>
            <w:gridSpan w:val="3"/>
            <w:tcBorders>
              <w:top w:val="nil"/>
              <w:left w:val="nil"/>
              <w:bottom w:val="nil"/>
              <w:right w:val="single" w:sz="4" w:space="0" w:color="auto"/>
            </w:tcBorders>
          </w:tcPr>
          <w:p w14:paraId="538BFBE9" w14:textId="6412BA0C" w:rsidR="00F34A25" w:rsidRPr="00BB6A7F" w:rsidRDefault="00E62431" w:rsidP="00BB6A7F">
            <w:pPr>
              <w:spacing w:line="240" w:lineRule="auto"/>
              <w:rPr>
                <w:rFonts w:ascii="Lato" w:hAnsi="Lato"/>
              </w:rPr>
            </w:pPr>
            <w:r w:rsidRPr="00BB6A7F">
              <w:rPr>
                <w:rFonts w:ascii="Lato" w:hAnsi="Lato"/>
              </w:rPr>
              <w:t xml:space="preserve">Describe </w:t>
            </w:r>
            <w:r w:rsidR="00C12880" w:rsidRPr="00BB6A7F">
              <w:rPr>
                <w:rFonts w:ascii="Lato" w:hAnsi="Lato"/>
              </w:rPr>
              <w:t xml:space="preserve">the liquidity management </w:t>
            </w:r>
            <w:r w:rsidR="00956A70" w:rsidRPr="00AC3ADC">
              <w:rPr>
                <w:rFonts w:ascii="Lato" w:hAnsi="Lato"/>
              </w:rPr>
              <w:t>procedures</w:t>
            </w:r>
          </w:p>
        </w:tc>
        <w:tc>
          <w:tcPr>
            <w:tcW w:w="819" w:type="dxa"/>
            <w:gridSpan w:val="2"/>
            <w:tcBorders>
              <w:top w:val="single" w:sz="4" w:space="0" w:color="auto"/>
              <w:left w:val="single" w:sz="4" w:space="0" w:color="auto"/>
              <w:bottom w:val="single" w:sz="4" w:space="0" w:color="auto"/>
              <w:right w:val="single" w:sz="4" w:space="0" w:color="auto"/>
            </w:tcBorders>
          </w:tcPr>
          <w:p w14:paraId="3C4C0A43" w14:textId="77777777" w:rsidR="00F34A25" w:rsidRPr="004E6794" w:rsidRDefault="00F34A25"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4C328667" w14:textId="77777777" w:rsidR="00F34A25" w:rsidRPr="004E6794" w:rsidRDefault="00F34A25"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495B03FF" w14:textId="77777777" w:rsidR="00F34A25" w:rsidRPr="004E6794" w:rsidRDefault="00F34A25"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43B51AAA" w14:textId="77777777" w:rsidR="00F34A25" w:rsidRPr="004E6794" w:rsidRDefault="00F34A25"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5CCBB1C" w14:textId="77777777" w:rsidR="00F34A25" w:rsidRPr="004E6794" w:rsidRDefault="00F34A25" w:rsidP="00BC0730">
            <w:pPr>
              <w:spacing w:line="240" w:lineRule="auto"/>
              <w:jc w:val="both"/>
              <w:rPr>
                <w:rFonts w:ascii="Lato" w:hAnsi="Lato"/>
              </w:rPr>
            </w:pPr>
          </w:p>
        </w:tc>
        <w:tc>
          <w:tcPr>
            <w:tcW w:w="366" w:type="dxa"/>
            <w:tcBorders>
              <w:top w:val="nil"/>
              <w:left w:val="single" w:sz="4" w:space="0" w:color="auto"/>
              <w:bottom w:val="nil"/>
              <w:right w:val="nil"/>
            </w:tcBorders>
          </w:tcPr>
          <w:p w14:paraId="6A32E25B" w14:textId="77777777" w:rsidR="00F34A25" w:rsidRPr="004E6794" w:rsidRDefault="00F34A25" w:rsidP="00BC0730">
            <w:pPr>
              <w:spacing w:line="240" w:lineRule="auto"/>
              <w:jc w:val="both"/>
              <w:rPr>
                <w:rFonts w:ascii="Lato" w:hAnsi="Lato"/>
              </w:rPr>
            </w:pPr>
          </w:p>
        </w:tc>
        <w:tc>
          <w:tcPr>
            <w:tcW w:w="631" w:type="dxa"/>
            <w:gridSpan w:val="2"/>
            <w:tcBorders>
              <w:top w:val="nil"/>
              <w:left w:val="nil"/>
              <w:bottom w:val="nil"/>
              <w:right w:val="nil"/>
            </w:tcBorders>
          </w:tcPr>
          <w:p w14:paraId="3D22BE4F" w14:textId="77777777" w:rsidR="00F34A25" w:rsidRPr="004E6794" w:rsidRDefault="00F34A25" w:rsidP="00BC0730">
            <w:pPr>
              <w:spacing w:line="240" w:lineRule="auto"/>
              <w:jc w:val="both"/>
              <w:rPr>
                <w:rFonts w:ascii="Lato" w:hAnsi="Lato"/>
              </w:rPr>
            </w:pPr>
          </w:p>
        </w:tc>
      </w:tr>
      <w:tr w:rsidR="008709E3" w:rsidRPr="00226335" w14:paraId="2EE0DD0D" w14:textId="77777777" w:rsidTr="00BB6A7F">
        <w:tc>
          <w:tcPr>
            <w:tcW w:w="953" w:type="dxa"/>
            <w:gridSpan w:val="2"/>
            <w:tcBorders>
              <w:top w:val="nil"/>
              <w:left w:val="nil"/>
              <w:bottom w:val="nil"/>
              <w:right w:val="nil"/>
            </w:tcBorders>
          </w:tcPr>
          <w:p w14:paraId="4DBE92F9" w14:textId="77777777" w:rsidR="00F34A25" w:rsidRDefault="00F34A25" w:rsidP="00BC0730">
            <w:pPr>
              <w:spacing w:line="240" w:lineRule="auto"/>
              <w:jc w:val="both"/>
              <w:rPr>
                <w:rFonts w:ascii="Lato" w:hAnsi="Lato"/>
              </w:rPr>
            </w:pPr>
          </w:p>
        </w:tc>
        <w:tc>
          <w:tcPr>
            <w:tcW w:w="5294" w:type="dxa"/>
            <w:gridSpan w:val="3"/>
            <w:tcBorders>
              <w:top w:val="nil"/>
              <w:left w:val="nil"/>
              <w:bottom w:val="nil"/>
              <w:right w:val="nil"/>
            </w:tcBorders>
          </w:tcPr>
          <w:p w14:paraId="23194801" w14:textId="34F9C9A9" w:rsidR="00F34A25" w:rsidRDefault="00C12880" w:rsidP="00BC0730">
            <w:pPr>
              <w:spacing w:line="240" w:lineRule="auto"/>
              <w:rPr>
                <w:rFonts w:ascii="Lato" w:hAnsi="Lato"/>
              </w:rPr>
            </w:pPr>
            <w:r w:rsidRPr="00C12880">
              <w:rPr>
                <w:rFonts w:ascii="Lato" w:hAnsi="Lato"/>
              </w:rPr>
              <w:t>for ensuring compliance with the weekly liquidity thresholds applicable to such funds as per Article 34 of the MMFR</w:t>
            </w:r>
            <w:r w:rsidR="00956A70">
              <w:rPr>
                <w:rFonts w:ascii="Lato" w:hAnsi="Lato"/>
              </w:rPr>
              <w:t xml:space="preserve"> </w:t>
            </w:r>
          </w:p>
        </w:tc>
        <w:tc>
          <w:tcPr>
            <w:tcW w:w="819" w:type="dxa"/>
            <w:gridSpan w:val="2"/>
            <w:tcBorders>
              <w:top w:val="single" w:sz="4" w:space="0" w:color="auto"/>
              <w:left w:val="nil"/>
              <w:bottom w:val="nil"/>
              <w:right w:val="nil"/>
            </w:tcBorders>
          </w:tcPr>
          <w:p w14:paraId="1BEC1745" w14:textId="77777777" w:rsidR="00F34A25" w:rsidRPr="004E6794" w:rsidRDefault="00F34A25" w:rsidP="00BC0730">
            <w:pPr>
              <w:spacing w:line="240" w:lineRule="auto"/>
              <w:jc w:val="both"/>
              <w:rPr>
                <w:rFonts w:ascii="Lato" w:hAnsi="Lato"/>
              </w:rPr>
            </w:pPr>
          </w:p>
        </w:tc>
        <w:tc>
          <w:tcPr>
            <w:tcW w:w="356" w:type="dxa"/>
            <w:gridSpan w:val="2"/>
            <w:tcBorders>
              <w:top w:val="nil"/>
              <w:left w:val="nil"/>
              <w:bottom w:val="nil"/>
              <w:right w:val="nil"/>
            </w:tcBorders>
          </w:tcPr>
          <w:p w14:paraId="4B4581CA" w14:textId="77777777" w:rsidR="00F34A25" w:rsidRPr="004E6794" w:rsidRDefault="00F34A25"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4491066A" w14:textId="77777777" w:rsidR="00F34A25" w:rsidRPr="004E6794" w:rsidRDefault="00F34A25" w:rsidP="00BC0730">
            <w:pPr>
              <w:spacing w:line="240" w:lineRule="auto"/>
              <w:jc w:val="both"/>
              <w:rPr>
                <w:rFonts w:ascii="Lato" w:hAnsi="Lato"/>
              </w:rPr>
            </w:pPr>
          </w:p>
        </w:tc>
        <w:tc>
          <w:tcPr>
            <w:tcW w:w="433" w:type="dxa"/>
            <w:gridSpan w:val="2"/>
            <w:tcBorders>
              <w:top w:val="nil"/>
              <w:left w:val="nil"/>
              <w:bottom w:val="nil"/>
              <w:right w:val="nil"/>
            </w:tcBorders>
          </w:tcPr>
          <w:p w14:paraId="0AAFD6CB" w14:textId="77777777" w:rsidR="00F34A25" w:rsidRPr="004E6794" w:rsidRDefault="00F34A25"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16CFEBC3" w14:textId="77777777" w:rsidR="00F34A25" w:rsidRPr="004E6794" w:rsidRDefault="00F34A25" w:rsidP="00BC0730">
            <w:pPr>
              <w:spacing w:line="240" w:lineRule="auto"/>
              <w:jc w:val="both"/>
              <w:rPr>
                <w:rFonts w:ascii="Lato" w:hAnsi="Lato"/>
              </w:rPr>
            </w:pPr>
          </w:p>
        </w:tc>
        <w:tc>
          <w:tcPr>
            <w:tcW w:w="366" w:type="dxa"/>
            <w:tcBorders>
              <w:top w:val="nil"/>
              <w:left w:val="nil"/>
              <w:bottom w:val="nil"/>
              <w:right w:val="nil"/>
            </w:tcBorders>
          </w:tcPr>
          <w:p w14:paraId="41944C4A" w14:textId="77777777" w:rsidR="00F34A25" w:rsidRPr="004E6794" w:rsidRDefault="00F34A25" w:rsidP="00BC0730">
            <w:pPr>
              <w:spacing w:line="240" w:lineRule="auto"/>
              <w:jc w:val="both"/>
              <w:rPr>
                <w:rFonts w:ascii="Lato" w:hAnsi="Lato"/>
              </w:rPr>
            </w:pPr>
          </w:p>
        </w:tc>
        <w:tc>
          <w:tcPr>
            <w:tcW w:w="631" w:type="dxa"/>
            <w:gridSpan w:val="2"/>
            <w:tcBorders>
              <w:top w:val="nil"/>
              <w:left w:val="nil"/>
              <w:bottom w:val="nil"/>
              <w:right w:val="nil"/>
            </w:tcBorders>
          </w:tcPr>
          <w:p w14:paraId="713F926A" w14:textId="77777777" w:rsidR="00F34A25" w:rsidRPr="004E6794" w:rsidRDefault="00F34A25" w:rsidP="00BC0730">
            <w:pPr>
              <w:spacing w:line="240" w:lineRule="auto"/>
              <w:jc w:val="both"/>
              <w:rPr>
                <w:rFonts w:ascii="Lato" w:hAnsi="Lato"/>
              </w:rPr>
            </w:pPr>
          </w:p>
        </w:tc>
      </w:tr>
      <w:tr w:rsidR="00BD0F86" w:rsidRPr="00226335" w14:paraId="798762A0" w14:textId="77777777" w:rsidTr="00BB6A7F">
        <w:tc>
          <w:tcPr>
            <w:tcW w:w="953" w:type="dxa"/>
            <w:gridSpan w:val="2"/>
            <w:tcBorders>
              <w:top w:val="nil"/>
              <w:left w:val="nil"/>
              <w:bottom w:val="nil"/>
              <w:right w:val="nil"/>
            </w:tcBorders>
          </w:tcPr>
          <w:p w14:paraId="6F3C48F3" w14:textId="77777777" w:rsidR="00BD0F86" w:rsidRDefault="00BD0F86" w:rsidP="00BC0730">
            <w:pPr>
              <w:spacing w:line="240" w:lineRule="auto"/>
              <w:jc w:val="both"/>
              <w:rPr>
                <w:rFonts w:ascii="Lato" w:hAnsi="Lato"/>
              </w:rPr>
            </w:pPr>
          </w:p>
        </w:tc>
        <w:tc>
          <w:tcPr>
            <w:tcW w:w="5294" w:type="dxa"/>
            <w:gridSpan w:val="3"/>
            <w:tcBorders>
              <w:top w:val="nil"/>
              <w:left w:val="nil"/>
              <w:bottom w:val="nil"/>
              <w:right w:val="nil"/>
            </w:tcBorders>
          </w:tcPr>
          <w:p w14:paraId="76C77A93" w14:textId="77777777" w:rsidR="00BD0F86" w:rsidRPr="00AC3ADC" w:rsidRDefault="00BD0F86" w:rsidP="00BC0730">
            <w:pPr>
              <w:spacing w:line="240" w:lineRule="auto"/>
              <w:rPr>
                <w:rFonts w:ascii="Lato" w:hAnsi="Lato"/>
              </w:rPr>
            </w:pPr>
          </w:p>
        </w:tc>
        <w:tc>
          <w:tcPr>
            <w:tcW w:w="819" w:type="dxa"/>
            <w:gridSpan w:val="2"/>
            <w:tcBorders>
              <w:top w:val="nil"/>
              <w:left w:val="nil"/>
              <w:bottom w:val="nil"/>
              <w:right w:val="nil"/>
            </w:tcBorders>
          </w:tcPr>
          <w:p w14:paraId="5DB6539C" w14:textId="77777777" w:rsidR="00BD0F86" w:rsidRPr="004E6794" w:rsidRDefault="00BD0F86" w:rsidP="00BC0730">
            <w:pPr>
              <w:spacing w:line="240" w:lineRule="auto"/>
              <w:jc w:val="both"/>
              <w:rPr>
                <w:rFonts w:ascii="Lato" w:hAnsi="Lato"/>
              </w:rPr>
            </w:pPr>
          </w:p>
        </w:tc>
        <w:tc>
          <w:tcPr>
            <w:tcW w:w="356" w:type="dxa"/>
            <w:gridSpan w:val="2"/>
            <w:tcBorders>
              <w:top w:val="nil"/>
              <w:left w:val="nil"/>
              <w:bottom w:val="nil"/>
              <w:right w:val="nil"/>
            </w:tcBorders>
          </w:tcPr>
          <w:p w14:paraId="36B26B67" w14:textId="77777777" w:rsidR="00BD0F86" w:rsidRPr="004E6794" w:rsidRDefault="00BD0F86" w:rsidP="00BC0730">
            <w:pPr>
              <w:spacing w:line="240" w:lineRule="auto"/>
              <w:jc w:val="both"/>
              <w:rPr>
                <w:rFonts w:ascii="Lato" w:hAnsi="Lato"/>
              </w:rPr>
            </w:pPr>
          </w:p>
        </w:tc>
        <w:tc>
          <w:tcPr>
            <w:tcW w:w="1361" w:type="dxa"/>
            <w:gridSpan w:val="2"/>
            <w:tcBorders>
              <w:top w:val="nil"/>
              <w:left w:val="nil"/>
              <w:bottom w:val="nil"/>
              <w:right w:val="nil"/>
            </w:tcBorders>
          </w:tcPr>
          <w:p w14:paraId="75CF1F30" w14:textId="77777777" w:rsidR="00BD0F86" w:rsidRPr="004E6794" w:rsidRDefault="00BD0F86" w:rsidP="00BC0730">
            <w:pPr>
              <w:spacing w:line="240" w:lineRule="auto"/>
              <w:jc w:val="both"/>
              <w:rPr>
                <w:rFonts w:ascii="Lato" w:hAnsi="Lato"/>
              </w:rPr>
            </w:pPr>
          </w:p>
        </w:tc>
        <w:tc>
          <w:tcPr>
            <w:tcW w:w="433" w:type="dxa"/>
            <w:gridSpan w:val="2"/>
            <w:tcBorders>
              <w:top w:val="nil"/>
              <w:left w:val="nil"/>
              <w:bottom w:val="nil"/>
              <w:right w:val="nil"/>
            </w:tcBorders>
          </w:tcPr>
          <w:p w14:paraId="25EC6D4C" w14:textId="77777777" w:rsidR="00BD0F86" w:rsidRPr="004E6794" w:rsidRDefault="00BD0F86" w:rsidP="00BC0730">
            <w:pPr>
              <w:spacing w:line="240" w:lineRule="auto"/>
              <w:jc w:val="both"/>
              <w:rPr>
                <w:rFonts w:ascii="Lato" w:hAnsi="Lato"/>
              </w:rPr>
            </w:pPr>
          </w:p>
        </w:tc>
        <w:tc>
          <w:tcPr>
            <w:tcW w:w="936" w:type="dxa"/>
            <w:gridSpan w:val="3"/>
            <w:tcBorders>
              <w:top w:val="nil"/>
              <w:left w:val="nil"/>
              <w:bottom w:val="nil"/>
              <w:right w:val="nil"/>
            </w:tcBorders>
          </w:tcPr>
          <w:p w14:paraId="7A29D5FF" w14:textId="77777777" w:rsidR="00BD0F86" w:rsidRPr="004E6794" w:rsidRDefault="00BD0F86" w:rsidP="00BC0730">
            <w:pPr>
              <w:spacing w:line="240" w:lineRule="auto"/>
              <w:jc w:val="both"/>
              <w:rPr>
                <w:rFonts w:ascii="Lato" w:hAnsi="Lato"/>
              </w:rPr>
            </w:pPr>
          </w:p>
        </w:tc>
        <w:tc>
          <w:tcPr>
            <w:tcW w:w="366" w:type="dxa"/>
            <w:tcBorders>
              <w:top w:val="nil"/>
              <w:left w:val="nil"/>
              <w:bottom w:val="nil"/>
              <w:right w:val="nil"/>
            </w:tcBorders>
          </w:tcPr>
          <w:p w14:paraId="32038C3A" w14:textId="77777777" w:rsidR="00BD0F86" w:rsidRPr="004E6794" w:rsidRDefault="00BD0F86" w:rsidP="00BC0730">
            <w:pPr>
              <w:spacing w:line="240" w:lineRule="auto"/>
              <w:jc w:val="both"/>
              <w:rPr>
                <w:rFonts w:ascii="Lato" w:hAnsi="Lato"/>
              </w:rPr>
            </w:pPr>
          </w:p>
        </w:tc>
        <w:tc>
          <w:tcPr>
            <w:tcW w:w="631" w:type="dxa"/>
            <w:gridSpan w:val="2"/>
            <w:tcBorders>
              <w:top w:val="nil"/>
              <w:left w:val="nil"/>
              <w:bottom w:val="nil"/>
              <w:right w:val="nil"/>
            </w:tcBorders>
          </w:tcPr>
          <w:p w14:paraId="4D2758D3" w14:textId="77777777" w:rsidR="00BD0F86" w:rsidRPr="004E6794" w:rsidRDefault="00BD0F86" w:rsidP="00BC0730">
            <w:pPr>
              <w:spacing w:line="240" w:lineRule="auto"/>
              <w:jc w:val="both"/>
              <w:rPr>
                <w:rFonts w:ascii="Lato" w:hAnsi="Lato"/>
              </w:rPr>
            </w:pPr>
          </w:p>
        </w:tc>
      </w:tr>
      <w:tr w:rsidR="008709E3" w:rsidRPr="00226335" w14:paraId="69A1F9A5" w14:textId="77777777" w:rsidTr="00BB6A7F">
        <w:tc>
          <w:tcPr>
            <w:tcW w:w="953" w:type="dxa"/>
            <w:gridSpan w:val="2"/>
            <w:tcBorders>
              <w:top w:val="nil"/>
              <w:left w:val="nil"/>
              <w:bottom w:val="nil"/>
              <w:right w:val="nil"/>
            </w:tcBorders>
          </w:tcPr>
          <w:p w14:paraId="1A126A8E" w14:textId="76A185C8" w:rsidR="00C12880" w:rsidRDefault="009B2A77" w:rsidP="00BC0730">
            <w:pPr>
              <w:spacing w:line="240" w:lineRule="auto"/>
              <w:jc w:val="both"/>
              <w:rPr>
                <w:rFonts w:ascii="Lato" w:hAnsi="Lato"/>
              </w:rPr>
            </w:pPr>
            <w:r>
              <w:rPr>
                <w:rFonts w:ascii="Lato" w:hAnsi="Lato"/>
              </w:rPr>
              <w:t>2.9</w:t>
            </w:r>
            <w:r w:rsidR="00BD0F86">
              <w:rPr>
                <w:rFonts w:ascii="Lato" w:hAnsi="Lato"/>
              </w:rPr>
              <w:t>.2</w:t>
            </w:r>
          </w:p>
        </w:tc>
        <w:tc>
          <w:tcPr>
            <w:tcW w:w="5294" w:type="dxa"/>
            <w:gridSpan w:val="3"/>
            <w:tcBorders>
              <w:top w:val="nil"/>
              <w:left w:val="nil"/>
              <w:bottom w:val="nil"/>
              <w:right w:val="single" w:sz="4" w:space="0" w:color="auto"/>
            </w:tcBorders>
          </w:tcPr>
          <w:p w14:paraId="4F8E7E7C" w14:textId="613FC411" w:rsidR="00C12880" w:rsidRPr="00BB6A7F" w:rsidRDefault="00C12880" w:rsidP="00BB6A7F">
            <w:pPr>
              <w:spacing w:line="240" w:lineRule="auto"/>
              <w:rPr>
                <w:rFonts w:ascii="Lato" w:hAnsi="Lato"/>
              </w:rPr>
            </w:pPr>
            <w:r w:rsidRPr="00BB6A7F">
              <w:rPr>
                <w:rFonts w:ascii="Lato" w:hAnsi="Lato"/>
              </w:rPr>
              <w:t>Provide a clear description of any use of the</w:t>
            </w:r>
          </w:p>
        </w:tc>
        <w:tc>
          <w:tcPr>
            <w:tcW w:w="819" w:type="dxa"/>
            <w:gridSpan w:val="2"/>
            <w:tcBorders>
              <w:top w:val="single" w:sz="4" w:space="0" w:color="auto"/>
              <w:left w:val="single" w:sz="4" w:space="0" w:color="auto"/>
              <w:bottom w:val="single" w:sz="4" w:space="0" w:color="auto"/>
              <w:right w:val="single" w:sz="4" w:space="0" w:color="auto"/>
            </w:tcBorders>
          </w:tcPr>
          <w:p w14:paraId="28973E07" w14:textId="77777777" w:rsidR="00C12880" w:rsidRPr="004E6794" w:rsidRDefault="00C1288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4D336A5C" w14:textId="77777777" w:rsidR="00C12880" w:rsidRPr="004E6794" w:rsidRDefault="00C1288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488420C4" w14:textId="77777777" w:rsidR="00C12880" w:rsidRPr="004E6794" w:rsidRDefault="00C1288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0FE9D4C6" w14:textId="77777777" w:rsidR="00C12880" w:rsidRPr="004E6794" w:rsidRDefault="00C1288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1894740B" w14:textId="77777777" w:rsidR="00C12880" w:rsidRPr="004E6794" w:rsidRDefault="00C12880" w:rsidP="00BC0730">
            <w:pPr>
              <w:spacing w:line="240" w:lineRule="auto"/>
              <w:jc w:val="both"/>
              <w:rPr>
                <w:rFonts w:ascii="Lato" w:hAnsi="Lato"/>
              </w:rPr>
            </w:pPr>
          </w:p>
        </w:tc>
        <w:tc>
          <w:tcPr>
            <w:tcW w:w="366" w:type="dxa"/>
            <w:tcBorders>
              <w:top w:val="nil"/>
              <w:left w:val="single" w:sz="4" w:space="0" w:color="auto"/>
              <w:bottom w:val="nil"/>
              <w:right w:val="nil"/>
            </w:tcBorders>
          </w:tcPr>
          <w:p w14:paraId="123481BF"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03623543" w14:textId="77777777" w:rsidR="00C12880" w:rsidRPr="004E6794" w:rsidRDefault="00C12880" w:rsidP="00BC0730">
            <w:pPr>
              <w:spacing w:line="240" w:lineRule="auto"/>
              <w:jc w:val="both"/>
              <w:rPr>
                <w:rFonts w:ascii="Lato" w:hAnsi="Lato"/>
              </w:rPr>
            </w:pPr>
          </w:p>
        </w:tc>
      </w:tr>
      <w:tr w:rsidR="008709E3" w:rsidRPr="00226335" w14:paraId="67EC2A7C" w14:textId="77777777" w:rsidTr="00BB6A7F">
        <w:tc>
          <w:tcPr>
            <w:tcW w:w="953" w:type="dxa"/>
            <w:gridSpan w:val="2"/>
            <w:tcBorders>
              <w:top w:val="nil"/>
              <w:left w:val="nil"/>
              <w:bottom w:val="nil"/>
              <w:right w:val="nil"/>
            </w:tcBorders>
          </w:tcPr>
          <w:p w14:paraId="2ED5837C" w14:textId="77777777" w:rsidR="00C12880" w:rsidRDefault="00C12880" w:rsidP="00BC0730">
            <w:pPr>
              <w:spacing w:line="240" w:lineRule="auto"/>
              <w:jc w:val="both"/>
              <w:rPr>
                <w:rFonts w:ascii="Lato" w:hAnsi="Lato"/>
              </w:rPr>
            </w:pPr>
          </w:p>
        </w:tc>
        <w:tc>
          <w:tcPr>
            <w:tcW w:w="5294" w:type="dxa"/>
            <w:gridSpan w:val="3"/>
            <w:tcBorders>
              <w:top w:val="nil"/>
              <w:left w:val="nil"/>
              <w:bottom w:val="nil"/>
              <w:right w:val="nil"/>
            </w:tcBorders>
          </w:tcPr>
          <w:p w14:paraId="502200A4" w14:textId="441B41E4" w:rsidR="00C12880" w:rsidRDefault="00C12880" w:rsidP="00BC0730">
            <w:pPr>
              <w:spacing w:line="240" w:lineRule="auto"/>
              <w:rPr>
                <w:rFonts w:ascii="Lato" w:hAnsi="Lato"/>
              </w:rPr>
            </w:pPr>
            <w:r w:rsidRPr="00C12880">
              <w:rPr>
                <w:rFonts w:ascii="Lato" w:hAnsi="Lato"/>
              </w:rPr>
              <w:t>amortised cost method or of</w:t>
            </w:r>
            <w:r>
              <w:rPr>
                <w:rFonts w:ascii="Lato" w:hAnsi="Lato"/>
              </w:rPr>
              <w:t xml:space="preserve"> rounding or both</w:t>
            </w:r>
          </w:p>
        </w:tc>
        <w:tc>
          <w:tcPr>
            <w:tcW w:w="819" w:type="dxa"/>
            <w:gridSpan w:val="2"/>
            <w:tcBorders>
              <w:top w:val="single" w:sz="4" w:space="0" w:color="auto"/>
              <w:left w:val="nil"/>
              <w:bottom w:val="nil"/>
              <w:right w:val="nil"/>
            </w:tcBorders>
          </w:tcPr>
          <w:p w14:paraId="437F7031" w14:textId="77777777" w:rsidR="00C12880" w:rsidRPr="004E6794" w:rsidRDefault="00C12880" w:rsidP="00BC0730">
            <w:pPr>
              <w:spacing w:line="240" w:lineRule="auto"/>
              <w:jc w:val="both"/>
              <w:rPr>
                <w:rFonts w:ascii="Lato" w:hAnsi="Lato"/>
              </w:rPr>
            </w:pPr>
          </w:p>
        </w:tc>
        <w:tc>
          <w:tcPr>
            <w:tcW w:w="356" w:type="dxa"/>
            <w:gridSpan w:val="2"/>
            <w:tcBorders>
              <w:top w:val="nil"/>
              <w:left w:val="nil"/>
              <w:bottom w:val="nil"/>
              <w:right w:val="nil"/>
            </w:tcBorders>
          </w:tcPr>
          <w:p w14:paraId="0AFFCEC3" w14:textId="77777777" w:rsidR="00C12880" w:rsidRPr="004E6794" w:rsidRDefault="00C12880"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12ABC2D8" w14:textId="77777777" w:rsidR="00C12880" w:rsidRPr="004E6794" w:rsidRDefault="00C12880" w:rsidP="00BC0730">
            <w:pPr>
              <w:spacing w:line="240" w:lineRule="auto"/>
              <w:jc w:val="both"/>
              <w:rPr>
                <w:rFonts w:ascii="Lato" w:hAnsi="Lato"/>
              </w:rPr>
            </w:pPr>
          </w:p>
        </w:tc>
        <w:tc>
          <w:tcPr>
            <w:tcW w:w="433" w:type="dxa"/>
            <w:gridSpan w:val="2"/>
            <w:tcBorders>
              <w:top w:val="nil"/>
              <w:left w:val="nil"/>
              <w:bottom w:val="nil"/>
              <w:right w:val="nil"/>
            </w:tcBorders>
          </w:tcPr>
          <w:p w14:paraId="625E8E31" w14:textId="77777777" w:rsidR="00C12880" w:rsidRPr="004E6794" w:rsidRDefault="00C12880"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6081D0B4" w14:textId="77777777" w:rsidR="00C12880" w:rsidRPr="004E6794" w:rsidRDefault="00C12880" w:rsidP="00BC0730">
            <w:pPr>
              <w:spacing w:line="240" w:lineRule="auto"/>
              <w:jc w:val="both"/>
              <w:rPr>
                <w:rFonts w:ascii="Lato" w:hAnsi="Lato"/>
              </w:rPr>
            </w:pPr>
          </w:p>
        </w:tc>
        <w:tc>
          <w:tcPr>
            <w:tcW w:w="366" w:type="dxa"/>
            <w:tcBorders>
              <w:top w:val="nil"/>
              <w:left w:val="nil"/>
              <w:bottom w:val="nil"/>
              <w:right w:val="nil"/>
            </w:tcBorders>
          </w:tcPr>
          <w:p w14:paraId="6F308099"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32C26D69" w14:textId="77777777" w:rsidR="00C12880" w:rsidRPr="004E6794" w:rsidRDefault="00C12880" w:rsidP="00BC0730">
            <w:pPr>
              <w:spacing w:line="240" w:lineRule="auto"/>
              <w:jc w:val="both"/>
              <w:rPr>
                <w:rFonts w:ascii="Lato" w:hAnsi="Lato"/>
              </w:rPr>
            </w:pPr>
          </w:p>
        </w:tc>
      </w:tr>
      <w:tr w:rsidR="00C12880" w:rsidRPr="00226335" w14:paraId="3A98D797" w14:textId="77777777" w:rsidTr="00BB6A7F">
        <w:tc>
          <w:tcPr>
            <w:tcW w:w="953" w:type="dxa"/>
            <w:gridSpan w:val="2"/>
            <w:tcBorders>
              <w:top w:val="nil"/>
              <w:left w:val="nil"/>
              <w:bottom w:val="nil"/>
              <w:right w:val="nil"/>
            </w:tcBorders>
          </w:tcPr>
          <w:p w14:paraId="28BE0E69" w14:textId="77777777" w:rsidR="00C12880" w:rsidRDefault="00C12880" w:rsidP="00BC0730">
            <w:pPr>
              <w:spacing w:line="240" w:lineRule="auto"/>
              <w:jc w:val="both"/>
              <w:rPr>
                <w:rFonts w:ascii="Lato" w:hAnsi="Lato"/>
              </w:rPr>
            </w:pPr>
          </w:p>
        </w:tc>
        <w:tc>
          <w:tcPr>
            <w:tcW w:w="5294" w:type="dxa"/>
            <w:gridSpan w:val="3"/>
            <w:tcBorders>
              <w:top w:val="nil"/>
              <w:left w:val="nil"/>
              <w:bottom w:val="nil"/>
              <w:right w:val="nil"/>
            </w:tcBorders>
          </w:tcPr>
          <w:p w14:paraId="1E3B9F40" w14:textId="77777777" w:rsidR="00C12880" w:rsidRDefault="00C12880" w:rsidP="00BC0730">
            <w:pPr>
              <w:spacing w:line="240" w:lineRule="auto"/>
              <w:rPr>
                <w:rFonts w:ascii="Lato" w:hAnsi="Lato"/>
              </w:rPr>
            </w:pPr>
          </w:p>
        </w:tc>
        <w:tc>
          <w:tcPr>
            <w:tcW w:w="819" w:type="dxa"/>
            <w:gridSpan w:val="2"/>
            <w:tcBorders>
              <w:top w:val="nil"/>
              <w:left w:val="nil"/>
              <w:bottom w:val="nil"/>
              <w:right w:val="nil"/>
            </w:tcBorders>
          </w:tcPr>
          <w:p w14:paraId="70590A34" w14:textId="77777777" w:rsidR="00C12880" w:rsidRPr="004E6794" w:rsidRDefault="00C12880" w:rsidP="00BC0730">
            <w:pPr>
              <w:spacing w:line="240" w:lineRule="auto"/>
              <w:jc w:val="both"/>
              <w:rPr>
                <w:rFonts w:ascii="Lato" w:hAnsi="Lato"/>
              </w:rPr>
            </w:pPr>
          </w:p>
        </w:tc>
        <w:tc>
          <w:tcPr>
            <w:tcW w:w="356" w:type="dxa"/>
            <w:gridSpan w:val="2"/>
            <w:tcBorders>
              <w:top w:val="nil"/>
              <w:left w:val="nil"/>
              <w:bottom w:val="nil"/>
              <w:right w:val="nil"/>
            </w:tcBorders>
          </w:tcPr>
          <w:p w14:paraId="22E95053" w14:textId="77777777" w:rsidR="00C12880" w:rsidRPr="004E6794" w:rsidRDefault="00C12880" w:rsidP="00BC0730">
            <w:pPr>
              <w:spacing w:line="240" w:lineRule="auto"/>
              <w:jc w:val="both"/>
              <w:rPr>
                <w:rFonts w:ascii="Lato" w:hAnsi="Lato"/>
              </w:rPr>
            </w:pPr>
          </w:p>
        </w:tc>
        <w:tc>
          <w:tcPr>
            <w:tcW w:w="1361" w:type="dxa"/>
            <w:gridSpan w:val="2"/>
            <w:tcBorders>
              <w:top w:val="nil"/>
              <w:left w:val="nil"/>
              <w:bottom w:val="nil"/>
              <w:right w:val="nil"/>
            </w:tcBorders>
          </w:tcPr>
          <w:p w14:paraId="6BBB3520" w14:textId="77777777" w:rsidR="00C12880" w:rsidRPr="004E6794" w:rsidRDefault="00C12880" w:rsidP="00BC0730">
            <w:pPr>
              <w:spacing w:line="240" w:lineRule="auto"/>
              <w:jc w:val="both"/>
              <w:rPr>
                <w:rFonts w:ascii="Lato" w:hAnsi="Lato"/>
              </w:rPr>
            </w:pPr>
          </w:p>
        </w:tc>
        <w:tc>
          <w:tcPr>
            <w:tcW w:w="433" w:type="dxa"/>
            <w:gridSpan w:val="2"/>
            <w:tcBorders>
              <w:top w:val="nil"/>
              <w:left w:val="nil"/>
              <w:bottom w:val="nil"/>
              <w:right w:val="nil"/>
            </w:tcBorders>
          </w:tcPr>
          <w:p w14:paraId="07F1F694" w14:textId="77777777" w:rsidR="00C12880" w:rsidRPr="004E6794" w:rsidRDefault="00C12880" w:rsidP="00BC0730">
            <w:pPr>
              <w:spacing w:line="240" w:lineRule="auto"/>
              <w:jc w:val="both"/>
              <w:rPr>
                <w:rFonts w:ascii="Lato" w:hAnsi="Lato"/>
              </w:rPr>
            </w:pPr>
          </w:p>
        </w:tc>
        <w:tc>
          <w:tcPr>
            <w:tcW w:w="936" w:type="dxa"/>
            <w:gridSpan w:val="3"/>
            <w:tcBorders>
              <w:top w:val="nil"/>
              <w:left w:val="nil"/>
              <w:bottom w:val="nil"/>
              <w:right w:val="nil"/>
            </w:tcBorders>
          </w:tcPr>
          <w:p w14:paraId="688D393F" w14:textId="77777777" w:rsidR="00C12880" w:rsidRPr="004E6794" w:rsidRDefault="00C12880" w:rsidP="00BC0730">
            <w:pPr>
              <w:spacing w:line="240" w:lineRule="auto"/>
              <w:jc w:val="both"/>
              <w:rPr>
                <w:rFonts w:ascii="Lato" w:hAnsi="Lato"/>
              </w:rPr>
            </w:pPr>
          </w:p>
        </w:tc>
        <w:tc>
          <w:tcPr>
            <w:tcW w:w="366" w:type="dxa"/>
            <w:tcBorders>
              <w:top w:val="nil"/>
              <w:left w:val="nil"/>
              <w:bottom w:val="nil"/>
              <w:right w:val="nil"/>
            </w:tcBorders>
          </w:tcPr>
          <w:p w14:paraId="0CDA098B"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23ACE34D" w14:textId="77777777" w:rsidR="00C12880" w:rsidRPr="004E6794" w:rsidRDefault="00C12880" w:rsidP="00BC0730">
            <w:pPr>
              <w:spacing w:line="240" w:lineRule="auto"/>
              <w:jc w:val="both"/>
              <w:rPr>
                <w:rFonts w:ascii="Lato" w:hAnsi="Lato"/>
              </w:rPr>
            </w:pPr>
          </w:p>
        </w:tc>
      </w:tr>
      <w:tr w:rsidR="00C12880" w:rsidRPr="00226335" w14:paraId="5538A79D" w14:textId="77777777" w:rsidTr="00BB6A7F">
        <w:tc>
          <w:tcPr>
            <w:tcW w:w="953" w:type="dxa"/>
            <w:gridSpan w:val="2"/>
            <w:tcBorders>
              <w:top w:val="nil"/>
              <w:left w:val="nil"/>
              <w:bottom w:val="nil"/>
              <w:right w:val="nil"/>
            </w:tcBorders>
          </w:tcPr>
          <w:p w14:paraId="29ABCC69" w14:textId="6DBA20C6" w:rsidR="00C12880" w:rsidRPr="00BB6A7F" w:rsidRDefault="00F74987" w:rsidP="00BC0730">
            <w:pPr>
              <w:spacing w:line="240" w:lineRule="auto"/>
              <w:jc w:val="both"/>
              <w:rPr>
                <w:rFonts w:ascii="Lato" w:hAnsi="Lato"/>
              </w:rPr>
            </w:pPr>
            <w:r w:rsidRPr="00BB6A7F">
              <w:rPr>
                <w:rFonts w:ascii="Lato" w:hAnsi="Lato"/>
              </w:rPr>
              <w:t>2.</w:t>
            </w:r>
            <w:r w:rsidR="009B2A77">
              <w:rPr>
                <w:rFonts w:ascii="Lato" w:hAnsi="Lato"/>
              </w:rPr>
              <w:t>10</w:t>
            </w:r>
          </w:p>
        </w:tc>
        <w:tc>
          <w:tcPr>
            <w:tcW w:w="5294" w:type="dxa"/>
            <w:gridSpan w:val="3"/>
            <w:tcBorders>
              <w:top w:val="nil"/>
              <w:left w:val="nil"/>
              <w:bottom w:val="nil"/>
              <w:right w:val="nil"/>
            </w:tcBorders>
          </w:tcPr>
          <w:p w14:paraId="3ECDA44F" w14:textId="4AFD4505" w:rsidR="00C12880" w:rsidRPr="007B13FE" w:rsidRDefault="009F28EA" w:rsidP="00BC0730">
            <w:pPr>
              <w:spacing w:line="240" w:lineRule="auto"/>
              <w:rPr>
                <w:rFonts w:ascii="Lato" w:hAnsi="Lato"/>
                <w:i/>
              </w:rPr>
            </w:pPr>
            <w:r w:rsidRPr="007B13FE">
              <w:rPr>
                <w:rFonts w:ascii="Lato" w:hAnsi="Lato"/>
                <w:i/>
              </w:rPr>
              <w:t>Standard Money Market Funds</w:t>
            </w:r>
          </w:p>
        </w:tc>
        <w:tc>
          <w:tcPr>
            <w:tcW w:w="819" w:type="dxa"/>
            <w:gridSpan w:val="2"/>
            <w:tcBorders>
              <w:top w:val="nil"/>
              <w:left w:val="nil"/>
              <w:bottom w:val="nil"/>
              <w:right w:val="nil"/>
            </w:tcBorders>
          </w:tcPr>
          <w:p w14:paraId="722549D1" w14:textId="77777777" w:rsidR="00C12880" w:rsidRPr="004E6794" w:rsidRDefault="00C12880" w:rsidP="00BC0730">
            <w:pPr>
              <w:spacing w:line="240" w:lineRule="auto"/>
              <w:jc w:val="both"/>
              <w:rPr>
                <w:rFonts w:ascii="Lato" w:hAnsi="Lato"/>
              </w:rPr>
            </w:pPr>
          </w:p>
        </w:tc>
        <w:tc>
          <w:tcPr>
            <w:tcW w:w="356" w:type="dxa"/>
            <w:gridSpan w:val="2"/>
            <w:tcBorders>
              <w:top w:val="nil"/>
              <w:left w:val="nil"/>
              <w:bottom w:val="nil"/>
              <w:right w:val="nil"/>
            </w:tcBorders>
          </w:tcPr>
          <w:p w14:paraId="1B8DDAA7" w14:textId="77777777" w:rsidR="00C12880" w:rsidRPr="004E6794" w:rsidRDefault="00C12880" w:rsidP="00BC0730">
            <w:pPr>
              <w:spacing w:line="240" w:lineRule="auto"/>
              <w:jc w:val="both"/>
              <w:rPr>
                <w:rFonts w:ascii="Lato" w:hAnsi="Lato"/>
              </w:rPr>
            </w:pPr>
          </w:p>
        </w:tc>
        <w:tc>
          <w:tcPr>
            <w:tcW w:w="1361" w:type="dxa"/>
            <w:gridSpan w:val="2"/>
            <w:tcBorders>
              <w:top w:val="nil"/>
              <w:left w:val="nil"/>
              <w:bottom w:val="nil"/>
              <w:right w:val="nil"/>
            </w:tcBorders>
          </w:tcPr>
          <w:p w14:paraId="2C09F8BC" w14:textId="77777777" w:rsidR="00C12880" w:rsidRPr="004E6794" w:rsidRDefault="00C12880" w:rsidP="00BC0730">
            <w:pPr>
              <w:spacing w:line="240" w:lineRule="auto"/>
              <w:jc w:val="both"/>
              <w:rPr>
                <w:rFonts w:ascii="Lato" w:hAnsi="Lato"/>
              </w:rPr>
            </w:pPr>
          </w:p>
        </w:tc>
        <w:tc>
          <w:tcPr>
            <w:tcW w:w="433" w:type="dxa"/>
            <w:gridSpan w:val="2"/>
            <w:tcBorders>
              <w:top w:val="nil"/>
              <w:left w:val="nil"/>
              <w:bottom w:val="nil"/>
              <w:right w:val="nil"/>
            </w:tcBorders>
          </w:tcPr>
          <w:p w14:paraId="15980364" w14:textId="77777777" w:rsidR="00C12880" w:rsidRPr="004E6794" w:rsidRDefault="00C12880" w:rsidP="00BC0730">
            <w:pPr>
              <w:spacing w:line="240" w:lineRule="auto"/>
              <w:jc w:val="both"/>
              <w:rPr>
                <w:rFonts w:ascii="Lato" w:hAnsi="Lato"/>
              </w:rPr>
            </w:pPr>
          </w:p>
        </w:tc>
        <w:tc>
          <w:tcPr>
            <w:tcW w:w="936" w:type="dxa"/>
            <w:gridSpan w:val="3"/>
            <w:tcBorders>
              <w:top w:val="nil"/>
              <w:left w:val="nil"/>
              <w:bottom w:val="nil"/>
              <w:right w:val="nil"/>
            </w:tcBorders>
          </w:tcPr>
          <w:p w14:paraId="03C6C48F" w14:textId="77777777" w:rsidR="00C12880" w:rsidRPr="004E6794" w:rsidRDefault="00C12880" w:rsidP="00BC0730">
            <w:pPr>
              <w:spacing w:line="240" w:lineRule="auto"/>
              <w:jc w:val="both"/>
              <w:rPr>
                <w:rFonts w:ascii="Lato" w:hAnsi="Lato"/>
              </w:rPr>
            </w:pPr>
          </w:p>
        </w:tc>
        <w:tc>
          <w:tcPr>
            <w:tcW w:w="366" w:type="dxa"/>
            <w:tcBorders>
              <w:top w:val="nil"/>
              <w:left w:val="nil"/>
              <w:bottom w:val="nil"/>
              <w:right w:val="nil"/>
            </w:tcBorders>
          </w:tcPr>
          <w:p w14:paraId="7B6F6262"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7B1E51E5" w14:textId="77777777" w:rsidR="00C12880" w:rsidRPr="004E6794" w:rsidRDefault="00C12880" w:rsidP="00BC0730">
            <w:pPr>
              <w:spacing w:line="240" w:lineRule="auto"/>
              <w:jc w:val="both"/>
              <w:rPr>
                <w:rFonts w:ascii="Lato" w:hAnsi="Lato"/>
              </w:rPr>
            </w:pPr>
          </w:p>
        </w:tc>
      </w:tr>
      <w:tr w:rsidR="008709E3" w:rsidRPr="00226335" w14:paraId="05D01553" w14:textId="77777777" w:rsidTr="00BB6A7F">
        <w:tc>
          <w:tcPr>
            <w:tcW w:w="953" w:type="dxa"/>
            <w:gridSpan w:val="2"/>
            <w:tcBorders>
              <w:top w:val="nil"/>
              <w:left w:val="nil"/>
              <w:bottom w:val="nil"/>
              <w:right w:val="nil"/>
            </w:tcBorders>
          </w:tcPr>
          <w:p w14:paraId="1C8BC46B" w14:textId="3CC9E989" w:rsidR="009F28EA" w:rsidRPr="007B13FE" w:rsidRDefault="009F28EA" w:rsidP="00BC0730">
            <w:pPr>
              <w:spacing w:line="240" w:lineRule="auto"/>
              <w:jc w:val="both"/>
              <w:rPr>
                <w:rFonts w:ascii="Lato" w:hAnsi="Lato"/>
              </w:rPr>
            </w:pPr>
          </w:p>
        </w:tc>
        <w:tc>
          <w:tcPr>
            <w:tcW w:w="5294" w:type="dxa"/>
            <w:gridSpan w:val="3"/>
            <w:tcBorders>
              <w:top w:val="nil"/>
              <w:left w:val="nil"/>
              <w:bottom w:val="nil"/>
              <w:right w:val="nil"/>
            </w:tcBorders>
          </w:tcPr>
          <w:p w14:paraId="38FB07BA" w14:textId="2910F766" w:rsidR="009F28EA" w:rsidRPr="007B13FE" w:rsidRDefault="009F28EA" w:rsidP="00933FF5">
            <w:pPr>
              <w:spacing w:line="240" w:lineRule="auto"/>
              <w:rPr>
                <w:rFonts w:ascii="Lato" w:hAnsi="Lato"/>
              </w:rPr>
            </w:pPr>
            <w:r>
              <w:rPr>
                <w:rFonts w:ascii="Lato" w:hAnsi="Lato"/>
              </w:rPr>
              <w:t>State that the Fund is</w:t>
            </w:r>
            <w:r w:rsidR="00933FF5">
              <w:rPr>
                <w:rFonts w:ascii="Lato" w:hAnsi="Lato"/>
              </w:rPr>
              <w:t>:</w:t>
            </w:r>
            <w:r>
              <w:rPr>
                <w:rFonts w:ascii="Lato" w:hAnsi="Lato"/>
              </w:rPr>
              <w:t xml:space="preserve"> </w:t>
            </w:r>
          </w:p>
        </w:tc>
        <w:tc>
          <w:tcPr>
            <w:tcW w:w="819" w:type="dxa"/>
            <w:gridSpan w:val="2"/>
            <w:tcBorders>
              <w:top w:val="nil"/>
              <w:left w:val="nil"/>
              <w:bottom w:val="single" w:sz="4" w:space="0" w:color="auto"/>
              <w:right w:val="nil"/>
            </w:tcBorders>
          </w:tcPr>
          <w:p w14:paraId="11642FA8" w14:textId="77777777" w:rsidR="009F28EA" w:rsidRPr="004E6794" w:rsidRDefault="009F28EA" w:rsidP="00BC0730">
            <w:pPr>
              <w:spacing w:line="240" w:lineRule="auto"/>
              <w:jc w:val="both"/>
              <w:rPr>
                <w:rFonts w:ascii="Lato" w:hAnsi="Lato"/>
              </w:rPr>
            </w:pPr>
          </w:p>
        </w:tc>
        <w:tc>
          <w:tcPr>
            <w:tcW w:w="356" w:type="dxa"/>
            <w:gridSpan w:val="2"/>
            <w:tcBorders>
              <w:top w:val="nil"/>
              <w:left w:val="nil"/>
              <w:bottom w:val="nil"/>
              <w:right w:val="nil"/>
            </w:tcBorders>
          </w:tcPr>
          <w:p w14:paraId="4B8505A4" w14:textId="77777777" w:rsidR="009F28EA" w:rsidRPr="004E6794" w:rsidRDefault="009F28EA" w:rsidP="00BC0730">
            <w:pPr>
              <w:spacing w:line="240" w:lineRule="auto"/>
              <w:jc w:val="both"/>
              <w:rPr>
                <w:rFonts w:ascii="Lato" w:hAnsi="Lato"/>
              </w:rPr>
            </w:pPr>
          </w:p>
        </w:tc>
        <w:tc>
          <w:tcPr>
            <w:tcW w:w="1361" w:type="dxa"/>
            <w:gridSpan w:val="2"/>
            <w:tcBorders>
              <w:top w:val="nil"/>
              <w:left w:val="nil"/>
              <w:bottom w:val="single" w:sz="4" w:space="0" w:color="auto"/>
              <w:right w:val="nil"/>
            </w:tcBorders>
          </w:tcPr>
          <w:p w14:paraId="4936349A" w14:textId="77777777" w:rsidR="009F28EA" w:rsidRPr="004E6794" w:rsidRDefault="009F28EA" w:rsidP="00BC0730">
            <w:pPr>
              <w:spacing w:line="240" w:lineRule="auto"/>
              <w:jc w:val="both"/>
              <w:rPr>
                <w:rFonts w:ascii="Lato" w:hAnsi="Lato"/>
              </w:rPr>
            </w:pPr>
          </w:p>
        </w:tc>
        <w:tc>
          <w:tcPr>
            <w:tcW w:w="433" w:type="dxa"/>
            <w:gridSpan w:val="2"/>
            <w:tcBorders>
              <w:top w:val="nil"/>
              <w:left w:val="nil"/>
              <w:bottom w:val="nil"/>
              <w:right w:val="nil"/>
            </w:tcBorders>
          </w:tcPr>
          <w:p w14:paraId="3F8CD17C" w14:textId="77777777" w:rsidR="009F28EA" w:rsidRPr="004E6794" w:rsidRDefault="009F28EA" w:rsidP="00BC0730">
            <w:pPr>
              <w:spacing w:line="240" w:lineRule="auto"/>
              <w:jc w:val="both"/>
              <w:rPr>
                <w:rFonts w:ascii="Lato" w:hAnsi="Lato"/>
              </w:rPr>
            </w:pPr>
          </w:p>
        </w:tc>
        <w:tc>
          <w:tcPr>
            <w:tcW w:w="936" w:type="dxa"/>
            <w:gridSpan w:val="3"/>
            <w:tcBorders>
              <w:top w:val="nil"/>
              <w:left w:val="nil"/>
              <w:bottom w:val="single" w:sz="4" w:space="0" w:color="auto"/>
              <w:right w:val="nil"/>
            </w:tcBorders>
          </w:tcPr>
          <w:p w14:paraId="184D5E36" w14:textId="77777777" w:rsidR="009F28EA" w:rsidRPr="004E6794" w:rsidRDefault="009F28EA" w:rsidP="00BC0730">
            <w:pPr>
              <w:spacing w:line="240" w:lineRule="auto"/>
              <w:jc w:val="both"/>
              <w:rPr>
                <w:rFonts w:ascii="Lato" w:hAnsi="Lato"/>
              </w:rPr>
            </w:pPr>
          </w:p>
        </w:tc>
        <w:tc>
          <w:tcPr>
            <w:tcW w:w="366" w:type="dxa"/>
            <w:tcBorders>
              <w:top w:val="nil"/>
              <w:left w:val="nil"/>
              <w:bottom w:val="nil"/>
              <w:right w:val="nil"/>
            </w:tcBorders>
          </w:tcPr>
          <w:p w14:paraId="6B240120" w14:textId="77777777" w:rsidR="009F28EA" w:rsidRPr="004E6794" w:rsidRDefault="009F28EA" w:rsidP="00BC0730">
            <w:pPr>
              <w:spacing w:line="240" w:lineRule="auto"/>
              <w:jc w:val="both"/>
              <w:rPr>
                <w:rFonts w:ascii="Lato" w:hAnsi="Lato"/>
              </w:rPr>
            </w:pPr>
          </w:p>
        </w:tc>
        <w:tc>
          <w:tcPr>
            <w:tcW w:w="631" w:type="dxa"/>
            <w:gridSpan w:val="2"/>
            <w:tcBorders>
              <w:top w:val="nil"/>
              <w:left w:val="nil"/>
              <w:bottom w:val="nil"/>
              <w:right w:val="nil"/>
            </w:tcBorders>
          </w:tcPr>
          <w:p w14:paraId="5F4C1BB7" w14:textId="77777777" w:rsidR="009F28EA" w:rsidRPr="004E6794" w:rsidRDefault="009F28EA" w:rsidP="00BC0730">
            <w:pPr>
              <w:spacing w:line="240" w:lineRule="auto"/>
              <w:jc w:val="both"/>
              <w:rPr>
                <w:rFonts w:ascii="Lato" w:hAnsi="Lato"/>
              </w:rPr>
            </w:pPr>
          </w:p>
        </w:tc>
      </w:tr>
      <w:tr w:rsidR="009F28EA" w:rsidRPr="00226335" w14:paraId="7C0DD2A0" w14:textId="77777777" w:rsidTr="00BB6A7F">
        <w:tc>
          <w:tcPr>
            <w:tcW w:w="953" w:type="dxa"/>
            <w:gridSpan w:val="2"/>
            <w:tcBorders>
              <w:top w:val="nil"/>
              <w:left w:val="nil"/>
              <w:bottom w:val="nil"/>
              <w:right w:val="nil"/>
            </w:tcBorders>
          </w:tcPr>
          <w:p w14:paraId="35242649" w14:textId="77777777" w:rsidR="009F28EA" w:rsidRPr="007B13FE" w:rsidRDefault="009F28EA"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46DD83E7" w14:textId="0AEFDA9A" w:rsidR="009F28EA" w:rsidRPr="00BB6A7F" w:rsidRDefault="006117BC" w:rsidP="00BB6A7F">
            <w:pPr>
              <w:pStyle w:val="ListParagraph"/>
              <w:numPr>
                <w:ilvl w:val="0"/>
                <w:numId w:val="89"/>
              </w:numPr>
              <w:spacing w:line="240" w:lineRule="auto"/>
              <w:rPr>
                <w:rFonts w:ascii="Lato" w:hAnsi="Lato"/>
                <w:i/>
              </w:rPr>
            </w:pPr>
            <w:r w:rsidRPr="006117BC">
              <w:rPr>
                <w:rFonts w:ascii="Lato" w:hAnsi="Lato"/>
              </w:rPr>
              <w:t xml:space="preserve">a </w:t>
            </w:r>
            <w:r>
              <w:rPr>
                <w:rFonts w:ascii="Lato" w:hAnsi="Lato"/>
              </w:rPr>
              <w:t>s</w:t>
            </w:r>
            <w:r w:rsidR="0059784F">
              <w:rPr>
                <w:rFonts w:ascii="Lato" w:hAnsi="Lato"/>
              </w:rPr>
              <w:t>tandard money m</w:t>
            </w:r>
            <w:r w:rsidR="00933FF5" w:rsidRPr="00BB6A7F">
              <w:rPr>
                <w:rFonts w:ascii="Lato" w:hAnsi="Lato"/>
              </w:rPr>
              <w:t xml:space="preserve">arket </w:t>
            </w:r>
            <w:r w:rsidR="0059784F">
              <w:rPr>
                <w:rFonts w:ascii="Lato" w:hAnsi="Lato"/>
              </w:rPr>
              <w:t>f</w:t>
            </w:r>
            <w:r w:rsidR="007E3165" w:rsidRPr="00BB6A7F">
              <w:rPr>
                <w:rFonts w:ascii="Lato" w:hAnsi="Lato"/>
              </w:rPr>
              <w:t>und</w:t>
            </w:r>
          </w:p>
        </w:tc>
        <w:tc>
          <w:tcPr>
            <w:tcW w:w="819" w:type="dxa"/>
            <w:gridSpan w:val="2"/>
            <w:tcBorders>
              <w:top w:val="single" w:sz="4" w:space="0" w:color="auto"/>
              <w:left w:val="single" w:sz="4" w:space="0" w:color="auto"/>
              <w:bottom w:val="single" w:sz="4" w:space="0" w:color="auto"/>
              <w:right w:val="single" w:sz="4" w:space="0" w:color="auto"/>
            </w:tcBorders>
          </w:tcPr>
          <w:p w14:paraId="3B1A1666" w14:textId="77777777" w:rsidR="009F28EA" w:rsidRPr="004E6794" w:rsidRDefault="009F28EA"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72DA2CF4" w14:textId="77777777" w:rsidR="009F28EA" w:rsidRPr="004E6794" w:rsidRDefault="009F28EA"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36FB8E0B" w14:textId="77777777" w:rsidR="009F28EA" w:rsidRPr="004E6794" w:rsidRDefault="009F28EA"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6B850A25" w14:textId="77777777" w:rsidR="009F28EA" w:rsidRPr="004E6794" w:rsidRDefault="009F28EA"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69E31896" w14:textId="77777777" w:rsidR="009F28EA" w:rsidRPr="004E6794" w:rsidRDefault="009F28EA" w:rsidP="00BC0730">
            <w:pPr>
              <w:spacing w:line="240" w:lineRule="auto"/>
              <w:jc w:val="both"/>
              <w:rPr>
                <w:rFonts w:ascii="Lato" w:hAnsi="Lato"/>
              </w:rPr>
            </w:pPr>
          </w:p>
        </w:tc>
        <w:tc>
          <w:tcPr>
            <w:tcW w:w="366" w:type="dxa"/>
            <w:tcBorders>
              <w:top w:val="nil"/>
              <w:left w:val="single" w:sz="4" w:space="0" w:color="auto"/>
              <w:bottom w:val="nil"/>
              <w:right w:val="nil"/>
            </w:tcBorders>
          </w:tcPr>
          <w:p w14:paraId="4833291A" w14:textId="77777777" w:rsidR="009F28EA" w:rsidRPr="004E6794" w:rsidRDefault="009F28EA" w:rsidP="00BC0730">
            <w:pPr>
              <w:spacing w:line="240" w:lineRule="auto"/>
              <w:jc w:val="both"/>
              <w:rPr>
                <w:rFonts w:ascii="Lato" w:hAnsi="Lato"/>
              </w:rPr>
            </w:pPr>
          </w:p>
        </w:tc>
        <w:tc>
          <w:tcPr>
            <w:tcW w:w="631" w:type="dxa"/>
            <w:gridSpan w:val="2"/>
            <w:tcBorders>
              <w:top w:val="nil"/>
              <w:left w:val="nil"/>
              <w:bottom w:val="nil"/>
              <w:right w:val="nil"/>
            </w:tcBorders>
          </w:tcPr>
          <w:p w14:paraId="6DBCB8E3" w14:textId="77777777" w:rsidR="009F28EA" w:rsidRPr="004E6794" w:rsidRDefault="009F28EA" w:rsidP="00BC0730">
            <w:pPr>
              <w:spacing w:line="240" w:lineRule="auto"/>
              <w:jc w:val="both"/>
              <w:rPr>
                <w:rFonts w:ascii="Lato" w:hAnsi="Lato"/>
              </w:rPr>
            </w:pPr>
          </w:p>
        </w:tc>
      </w:tr>
      <w:tr w:rsidR="007E3165" w:rsidRPr="00226335" w14:paraId="7DDB3271" w14:textId="77777777" w:rsidTr="00BB6A7F">
        <w:tc>
          <w:tcPr>
            <w:tcW w:w="953" w:type="dxa"/>
            <w:gridSpan w:val="2"/>
            <w:tcBorders>
              <w:top w:val="nil"/>
              <w:left w:val="nil"/>
              <w:bottom w:val="nil"/>
              <w:right w:val="nil"/>
            </w:tcBorders>
          </w:tcPr>
          <w:p w14:paraId="61AE0133" w14:textId="77777777" w:rsidR="007E3165" w:rsidRPr="009F28EA" w:rsidRDefault="007E3165" w:rsidP="00BC0730">
            <w:pPr>
              <w:spacing w:line="240" w:lineRule="auto"/>
              <w:jc w:val="both"/>
              <w:rPr>
                <w:rFonts w:ascii="Lato" w:hAnsi="Lato"/>
              </w:rPr>
            </w:pPr>
          </w:p>
        </w:tc>
        <w:tc>
          <w:tcPr>
            <w:tcW w:w="5294" w:type="dxa"/>
            <w:gridSpan w:val="3"/>
            <w:tcBorders>
              <w:top w:val="nil"/>
              <w:left w:val="nil"/>
              <w:bottom w:val="nil"/>
              <w:right w:val="nil"/>
            </w:tcBorders>
          </w:tcPr>
          <w:p w14:paraId="6B70F058" w14:textId="259B1B6E" w:rsidR="007E3165" w:rsidRPr="00BB6A7F" w:rsidRDefault="00933FF5" w:rsidP="00BC0730">
            <w:pPr>
              <w:spacing w:line="240" w:lineRule="auto"/>
              <w:rPr>
                <w:rFonts w:ascii="Lato" w:hAnsi="Lato"/>
              </w:rPr>
            </w:pPr>
            <w:r w:rsidRPr="00BB6A7F">
              <w:rPr>
                <w:rFonts w:ascii="Lato" w:hAnsi="Lato"/>
              </w:rPr>
              <w:t>and</w:t>
            </w:r>
          </w:p>
        </w:tc>
        <w:tc>
          <w:tcPr>
            <w:tcW w:w="819" w:type="dxa"/>
            <w:gridSpan w:val="2"/>
            <w:tcBorders>
              <w:top w:val="single" w:sz="4" w:space="0" w:color="auto"/>
              <w:left w:val="nil"/>
              <w:bottom w:val="single" w:sz="4" w:space="0" w:color="auto"/>
              <w:right w:val="nil"/>
            </w:tcBorders>
          </w:tcPr>
          <w:p w14:paraId="66C1529B" w14:textId="77777777" w:rsidR="007E3165" w:rsidRPr="004E6794" w:rsidRDefault="007E3165" w:rsidP="00BC0730">
            <w:pPr>
              <w:spacing w:line="240" w:lineRule="auto"/>
              <w:jc w:val="both"/>
              <w:rPr>
                <w:rFonts w:ascii="Lato" w:hAnsi="Lato"/>
              </w:rPr>
            </w:pPr>
          </w:p>
        </w:tc>
        <w:tc>
          <w:tcPr>
            <w:tcW w:w="356" w:type="dxa"/>
            <w:gridSpan w:val="2"/>
            <w:tcBorders>
              <w:top w:val="nil"/>
              <w:left w:val="nil"/>
              <w:bottom w:val="nil"/>
              <w:right w:val="nil"/>
            </w:tcBorders>
          </w:tcPr>
          <w:p w14:paraId="218B0137" w14:textId="77777777" w:rsidR="007E3165" w:rsidRPr="004E6794" w:rsidRDefault="007E3165" w:rsidP="00BC0730">
            <w:pPr>
              <w:spacing w:line="240" w:lineRule="auto"/>
              <w:jc w:val="both"/>
              <w:rPr>
                <w:rFonts w:ascii="Lato" w:hAnsi="Lato"/>
              </w:rPr>
            </w:pPr>
          </w:p>
        </w:tc>
        <w:tc>
          <w:tcPr>
            <w:tcW w:w="1361" w:type="dxa"/>
            <w:gridSpan w:val="2"/>
            <w:tcBorders>
              <w:top w:val="single" w:sz="4" w:space="0" w:color="auto"/>
              <w:left w:val="nil"/>
              <w:bottom w:val="single" w:sz="4" w:space="0" w:color="auto"/>
              <w:right w:val="nil"/>
            </w:tcBorders>
          </w:tcPr>
          <w:p w14:paraId="6CBA6CF3" w14:textId="77777777" w:rsidR="007E3165" w:rsidRPr="004E6794" w:rsidRDefault="007E3165" w:rsidP="00BC0730">
            <w:pPr>
              <w:spacing w:line="240" w:lineRule="auto"/>
              <w:jc w:val="both"/>
              <w:rPr>
                <w:rFonts w:ascii="Lato" w:hAnsi="Lato"/>
              </w:rPr>
            </w:pPr>
          </w:p>
        </w:tc>
        <w:tc>
          <w:tcPr>
            <w:tcW w:w="433" w:type="dxa"/>
            <w:gridSpan w:val="2"/>
            <w:tcBorders>
              <w:top w:val="nil"/>
              <w:left w:val="nil"/>
              <w:bottom w:val="nil"/>
              <w:right w:val="nil"/>
            </w:tcBorders>
          </w:tcPr>
          <w:p w14:paraId="46F29B8A" w14:textId="77777777" w:rsidR="007E3165" w:rsidRPr="004E6794" w:rsidRDefault="007E3165" w:rsidP="00BC0730">
            <w:pPr>
              <w:spacing w:line="240" w:lineRule="auto"/>
              <w:jc w:val="both"/>
              <w:rPr>
                <w:rFonts w:ascii="Lato" w:hAnsi="Lato"/>
              </w:rPr>
            </w:pPr>
          </w:p>
        </w:tc>
        <w:tc>
          <w:tcPr>
            <w:tcW w:w="936" w:type="dxa"/>
            <w:gridSpan w:val="3"/>
            <w:tcBorders>
              <w:top w:val="single" w:sz="4" w:space="0" w:color="auto"/>
              <w:left w:val="nil"/>
              <w:bottom w:val="single" w:sz="4" w:space="0" w:color="auto"/>
              <w:right w:val="nil"/>
            </w:tcBorders>
          </w:tcPr>
          <w:p w14:paraId="6445E14F" w14:textId="77777777" w:rsidR="007E3165" w:rsidRPr="004E6794" w:rsidRDefault="007E3165" w:rsidP="00BC0730">
            <w:pPr>
              <w:spacing w:line="240" w:lineRule="auto"/>
              <w:jc w:val="both"/>
              <w:rPr>
                <w:rFonts w:ascii="Lato" w:hAnsi="Lato"/>
              </w:rPr>
            </w:pPr>
          </w:p>
        </w:tc>
        <w:tc>
          <w:tcPr>
            <w:tcW w:w="366" w:type="dxa"/>
            <w:tcBorders>
              <w:top w:val="nil"/>
              <w:left w:val="nil"/>
              <w:bottom w:val="nil"/>
              <w:right w:val="nil"/>
            </w:tcBorders>
          </w:tcPr>
          <w:p w14:paraId="67E18E48" w14:textId="77777777" w:rsidR="007E3165" w:rsidRPr="004E6794" w:rsidRDefault="007E3165" w:rsidP="00BC0730">
            <w:pPr>
              <w:spacing w:line="240" w:lineRule="auto"/>
              <w:jc w:val="both"/>
              <w:rPr>
                <w:rFonts w:ascii="Lato" w:hAnsi="Lato"/>
              </w:rPr>
            </w:pPr>
          </w:p>
        </w:tc>
        <w:tc>
          <w:tcPr>
            <w:tcW w:w="631" w:type="dxa"/>
            <w:gridSpan w:val="2"/>
            <w:tcBorders>
              <w:top w:val="nil"/>
              <w:left w:val="nil"/>
              <w:bottom w:val="nil"/>
              <w:right w:val="nil"/>
            </w:tcBorders>
          </w:tcPr>
          <w:p w14:paraId="531C404A" w14:textId="77777777" w:rsidR="007E3165" w:rsidRPr="004E6794" w:rsidRDefault="007E3165" w:rsidP="00BC0730">
            <w:pPr>
              <w:spacing w:line="240" w:lineRule="auto"/>
              <w:jc w:val="both"/>
              <w:rPr>
                <w:rFonts w:ascii="Lato" w:hAnsi="Lato"/>
              </w:rPr>
            </w:pPr>
          </w:p>
        </w:tc>
      </w:tr>
      <w:tr w:rsidR="008709E3" w:rsidRPr="00226335" w14:paraId="71C78ABB" w14:textId="77777777" w:rsidTr="00BB6A7F">
        <w:tc>
          <w:tcPr>
            <w:tcW w:w="953" w:type="dxa"/>
            <w:gridSpan w:val="2"/>
            <w:tcBorders>
              <w:top w:val="nil"/>
              <w:left w:val="nil"/>
              <w:bottom w:val="nil"/>
              <w:right w:val="nil"/>
            </w:tcBorders>
          </w:tcPr>
          <w:p w14:paraId="19670ED2" w14:textId="15BCA37D" w:rsidR="00C12880" w:rsidRDefault="00C12880" w:rsidP="00BC0730">
            <w:pPr>
              <w:spacing w:line="240" w:lineRule="auto"/>
              <w:jc w:val="both"/>
              <w:rPr>
                <w:rFonts w:ascii="Lato" w:hAnsi="Lato"/>
              </w:rPr>
            </w:pPr>
          </w:p>
        </w:tc>
        <w:tc>
          <w:tcPr>
            <w:tcW w:w="5294" w:type="dxa"/>
            <w:gridSpan w:val="3"/>
            <w:tcBorders>
              <w:top w:val="nil"/>
              <w:left w:val="nil"/>
              <w:bottom w:val="nil"/>
              <w:right w:val="single" w:sz="4" w:space="0" w:color="auto"/>
            </w:tcBorders>
          </w:tcPr>
          <w:p w14:paraId="21B03DDF" w14:textId="29730E21" w:rsidR="00C12880" w:rsidRPr="00BB6A7F" w:rsidRDefault="00786A73" w:rsidP="00BB6A7F">
            <w:pPr>
              <w:pStyle w:val="ListParagraph"/>
              <w:numPr>
                <w:ilvl w:val="0"/>
                <w:numId w:val="89"/>
              </w:numPr>
              <w:spacing w:line="240" w:lineRule="auto"/>
              <w:rPr>
                <w:rFonts w:ascii="Lato" w:hAnsi="Lato"/>
              </w:rPr>
            </w:pPr>
            <w:r w:rsidRPr="00BB6A7F">
              <w:rPr>
                <w:rFonts w:ascii="Lato" w:hAnsi="Lato"/>
              </w:rPr>
              <w:t xml:space="preserve">a variable NAV </w:t>
            </w:r>
            <w:r w:rsidR="0059784F">
              <w:rPr>
                <w:rFonts w:ascii="Lato" w:hAnsi="Lato"/>
              </w:rPr>
              <w:t>m</w:t>
            </w:r>
            <w:r w:rsidRPr="00BB6A7F">
              <w:rPr>
                <w:rFonts w:ascii="Lato" w:hAnsi="Lato"/>
              </w:rPr>
              <w:t xml:space="preserve">oney </w:t>
            </w:r>
            <w:r w:rsidR="0059784F">
              <w:rPr>
                <w:rFonts w:ascii="Lato" w:hAnsi="Lato"/>
              </w:rPr>
              <w:t>m</w:t>
            </w:r>
            <w:r w:rsidRPr="00BB6A7F">
              <w:rPr>
                <w:rFonts w:ascii="Lato" w:hAnsi="Lato"/>
              </w:rPr>
              <w:t xml:space="preserve">arket </w:t>
            </w:r>
            <w:r w:rsidR="0059784F">
              <w:rPr>
                <w:rFonts w:ascii="Lato" w:hAnsi="Lato"/>
              </w:rPr>
              <w:t>f</w:t>
            </w:r>
            <w:r w:rsidR="006117BC">
              <w:rPr>
                <w:rFonts w:ascii="Lato" w:hAnsi="Lato"/>
              </w:rPr>
              <w:t>und</w:t>
            </w:r>
          </w:p>
        </w:tc>
        <w:tc>
          <w:tcPr>
            <w:tcW w:w="819" w:type="dxa"/>
            <w:gridSpan w:val="2"/>
            <w:tcBorders>
              <w:top w:val="single" w:sz="4" w:space="0" w:color="auto"/>
              <w:left w:val="single" w:sz="4" w:space="0" w:color="auto"/>
              <w:bottom w:val="single" w:sz="4" w:space="0" w:color="auto"/>
              <w:right w:val="single" w:sz="4" w:space="0" w:color="auto"/>
            </w:tcBorders>
          </w:tcPr>
          <w:p w14:paraId="0142549B" w14:textId="77777777" w:rsidR="00C12880" w:rsidRPr="004E6794" w:rsidRDefault="00C12880" w:rsidP="00BC0730">
            <w:pPr>
              <w:spacing w:line="240" w:lineRule="auto"/>
              <w:jc w:val="both"/>
              <w:rPr>
                <w:rFonts w:ascii="Lato" w:hAnsi="Lato"/>
              </w:rPr>
            </w:pPr>
          </w:p>
        </w:tc>
        <w:tc>
          <w:tcPr>
            <w:tcW w:w="356" w:type="dxa"/>
            <w:gridSpan w:val="2"/>
            <w:tcBorders>
              <w:top w:val="nil"/>
              <w:left w:val="single" w:sz="4" w:space="0" w:color="auto"/>
              <w:bottom w:val="nil"/>
              <w:right w:val="single" w:sz="4" w:space="0" w:color="auto"/>
            </w:tcBorders>
          </w:tcPr>
          <w:p w14:paraId="68B46173" w14:textId="77777777" w:rsidR="00C12880" w:rsidRPr="004E6794" w:rsidRDefault="00C12880" w:rsidP="00BC0730">
            <w:pPr>
              <w:spacing w:line="240" w:lineRule="auto"/>
              <w:jc w:val="both"/>
              <w:rPr>
                <w:rFonts w:ascii="Lato" w:hAnsi="Lato"/>
              </w:rPr>
            </w:pPr>
          </w:p>
        </w:tc>
        <w:tc>
          <w:tcPr>
            <w:tcW w:w="1361" w:type="dxa"/>
            <w:gridSpan w:val="2"/>
            <w:tcBorders>
              <w:top w:val="single" w:sz="4" w:space="0" w:color="auto"/>
              <w:left w:val="single" w:sz="4" w:space="0" w:color="auto"/>
              <w:bottom w:val="single" w:sz="4" w:space="0" w:color="auto"/>
              <w:right w:val="single" w:sz="4" w:space="0" w:color="auto"/>
            </w:tcBorders>
          </w:tcPr>
          <w:p w14:paraId="6B0B59E2" w14:textId="77777777" w:rsidR="00C12880" w:rsidRPr="004E6794" w:rsidRDefault="00C12880" w:rsidP="00BC0730">
            <w:pPr>
              <w:spacing w:line="240" w:lineRule="auto"/>
              <w:jc w:val="both"/>
              <w:rPr>
                <w:rFonts w:ascii="Lato" w:hAnsi="Lato"/>
              </w:rPr>
            </w:pPr>
          </w:p>
        </w:tc>
        <w:tc>
          <w:tcPr>
            <w:tcW w:w="433" w:type="dxa"/>
            <w:gridSpan w:val="2"/>
            <w:tcBorders>
              <w:top w:val="nil"/>
              <w:left w:val="single" w:sz="4" w:space="0" w:color="auto"/>
              <w:bottom w:val="nil"/>
              <w:right w:val="single" w:sz="4" w:space="0" w:color="auto"/>
            </w:tcBorders>
          </w:tcPr>
          <w:p w14:paraId="2D8427FE" w14:textId="77777777" w:rsidR="00C12880" w:rsidRPr="004E6794" w:rsidRDefault="00C12880" w:rsidP="00BC0730">
            <w:pPr>
              <w:spacing w:line="240" w:lineRule="auto"/>
              <w:jc w:val="both"/>
              <w:rPr>
                <w:rFonts w:ascii="Lato" w:hAnsi="Lato"/>
              </w:rPr>
            </w:pPr>
          </w:p>
        </w:tc>
        <w:tc>
          <w:tcPr>
            <w:tcW w:w="936" w:type="dxa"/>
            <w:gridSpan w:val="3"/>
            <w:tcBorders>
              <w:top w:val="single" w:sz="4" w:space="0" w:color="auto"/>
              <w:left w:val="single" w:sz="4" w:space="0" w:color="auto"/>
              <w:bottom w:val="single" w:sz="4" w:space="0" w:color="auto"/>
              <w:right w:val="single" w:sz="4" w:space="0" w:color="auto"/>
            </w:tcBorders>
          </w:tcPr>
          <w:p w14:paraId="41FEFC89" w14:textId="77777777" w:rsidR="00C12880" w:rsidRPr="004E6794" w:rsidRDefault="00C12880" w:rsidP="00BC0730">
            <w:pPr>
              <w:spacing w:line="240" w:lineRule="auto"/>
              <w:jc w:val="both"/>
              <w:rPr>
                <w:rFonts w:ascii="Lato" w:hAnsi="Lato"/>
              </w:rPr>
            </w:pPr>
          </w:p>
        </w:tc>
        <w:tc>
          <w:tcPr>
            <w:tcW w:w="366" w:type="dxa"/>
            <w:tcBorders>
              <w:top w:val="nil"/>
              <w:left w:val="single" w:sz="4" w:space="0" w:color="auto"/>
              <w:bottom w:val="nil"/>
              <w:right w:val="nil"/>
            </w:tcBorders>
          </w:tcPr>
          <w:p w14:paraId="6E2AF5A0" w14:textId="77777777" w:rsidR="00C12880" w:rsidRPr="004E6794" w:rsidRDefault="00C12880" w:rsidP="00BC0730">
            <w:pPr>
              <w:spacing w:line="240" w:lineRule="auto"/>
              <w:jc w:val="both"/>
              <w:rPr>
                <w:rFonts w:ascii="Lato" w:hAnsi="Lato"/>
              </w:rPr>
            </w:pPr>
          </w:p>
        </w:tc>
        <w:tc>
          <w:tcPr>
            <w:tcW w:w="631" w:type="dxa"/>
            <w:gridSpan w:val="2"/>
            <w:tcBorders>
              <w:top w:val="nil"/>
              <w:left w:val="nil"/>
              <w:bottom w:val="nil"/>
              <w:right w:val="nil"/>
            </w:tcBorders>
          </w:tcPr>
          <w:p w14:paraId="011DDD83" w14:textId="77777777" w:rsidR="00C12880" w:rsidRPr="004E6794" w:rsidRDefault="00C12880" w:rsidP="00BC0730">
            <w:pPr>
              <w:spacing w:line="240" w:lineRule="auto"/>
              <w:jc w:val="both"/>
              <w:rPr>
                <w:rFonts w:ascii="Lato" w:hAnsi="Lato"/>
              </w:rPr>
            </w:pPr>
          </w:p>
        </w:tc>
      </w:tr>
      <w:tr w:rsidR="008709E3" w:rsidRPr="00226335" w14:paraId="43E9F001" w14:textId="77777777" w:rsidTr="00BB6A7F">
        <w:tc>
          <w:tcPr>
            <w:tcW w:w="953" w:type="dxa"/>
            <w:gridSpan w:val="2"/>
            <w:tcBorders>
              <w:top w:val="nil"/>
              <w:left w:val="nil"/>
              <w:bottom w:val="nil"/>
              <w:right w:val="nil"/>
            </w:tcBorders>
          </w:tcPr>
          <w:p w14:paraId="6CA5A85F" w14:textId="77777777" w:rsidR="007A2C01" w:rsidRDefault="007A2C01" w:rsidP="00BC0730">
            <w:pPr>
              <w:spacing w:line="240" w:lineRule="auto"/>
              <w:jc w:val="both"/>
              <w:rPr>
                <w:rFonts w:ascii="Lato" w:hAnsi="Lato"/>
              </w:rPr>
            </w:pPr>
          </w:p>
        </w:tc>
        <w:tc>
          <w:tcPr>
            <w:tcW w:w="5294" w:type="dxa"/>
            <w:gridSpan w:val="3"/>
            <w:tcBorders>
              <w:top w:val="nil"/>
              <w:left w:val="nil"/>
              <w:bottom w:val="nil"/>
              <w:right w:val="nil"/>
            </w:tcBorders>
          </w:tcPr>
          <w:p w14:paraId="2A392672" w14:textId="3DF1C851" w:rsidR="007A2C01" w:rsidRDefault="007A2C01" w:rsidP="00BC0730">
            <w:pPr>
              <w:spacing w:line="240" w:lineRule="auto"/>
              <w:rPr>
                <w:rFonts w:ascii="Lato" w:hAnsi="Lato"/>
              </w:rPr>
            </w:pPr>
          </w:p>
        </w:tc>
        <w:tc>
          <w:tcPr>
            <w:tcW w:w="819" w:type="dxa"/>
            <w:gridSpan w:val="2"/>
            <w:tcBorders>
              <w:top w:val="single" w:sz="4" w:space="0" w:color="auto"/>
              <w:left w:val="nil"/>
              <w:bottom w:val="nil"/>
              <w:right w:val="nil"/>
            </w:tcBorders>
          </w:tcPr>
          <w:p w14:paraId="6D84A679" w14:textId="77777777" w:rsidR="007A2C01" w:rsidRPr="004E6794" w:rsidRDefault="007A2C01" w:rsidP="00BC0730">
            <w:pPr>
              <w:spacing w:line="240" w:lineRule="auto"/>
              <w:jc w:val="both"/>
              <w:rPr>
                <w:rFonts w:ascii="Lato" w:hAnsi="Lato"/>
              </w:rPr>
            </w:pPr>
          </w:p>
        </w:tc>
        <w:tc>
          <w:tcPr>
            <w:tcW w:w="356" w:type="dxa"/>
            <w:gridSpan w:val="2"/>
            <w:tcBorders>
              <w:top w:val="nil"/>
              <w:left w:val="nil"/>
              <w:bottom w:val="nil"/>
              <w:right w:val="nil"/>
            </w:tcBorders>
          </w:tcPr>
          <w:p w14:paraId="14F35F9A" w14:textId="77777777" w:rsidR="007A2C01" w:rsidRPr="004E6794" w:rsidRDefault="007A2C01" w:rsidP="00BC0730">
            <w:pPr>
              <w:spacing w:line="240" w:lineRule="auto"/>
              <w:jc w:val="both"/>
              <w:rPr>
                <w:rFonts w:ascii="Lato" w:hAnsi="Lato"/>
              </w:rPr>
            </w:pPr>
          </w:p>
        </w:tc>
        <w:tc>
          <w:tcPr>
            <w:tcW w:w="1361" w:type="dxa"/>
            <w:gridSpan w:val="2"/>
            <w:tcBorders>
              <w:top w:val="single" w:sz="4" w:space="0" w:color="auto"/>
              <w:left w:val="nil"/>
              <w:bottom w:val="nil"/>
              <w:right w:val="nil"/>
            </w:tcBorders>
          </w:tcPr>
          <w:p w14:paraId="57A7634C" w14:textId="77777777" w:rsidR="007A2C01" w:rsidRPr="004E6794" w:rsidRDefault="007A2C01" w:rsidP="00BC0730">
            <w:pPr>
              <w:spacing w:line="240" w:lineRule="auto"/>
              <w:jc w:val="both"/>
              <w:rPr>
                <w:rFonts w:ascii="Lato" w:hAnsi="Lato"/>
              </w:rPr>
            </w:pPr>
          </w:p>
        </w:tc>
        <w:tc>
          <w:tcPr>
            <w:tcW w:w="433" w:type="dxa"/>
            <w:gridSpan w:val="2"/>
            <w:tcBorders>
              <w:top w:val="nil"/>
              <w:left w:val="nil"/>
              <w:bottom w:val="nil"/>
              <w:right w:val="nil"/>
            </w:tcBorders>
          </w:tcPr>
          <w:p w14:paraId="4B9937F8" w14:textId="77777777" w:rsidR="007A2C01" w:rsidRPr="004E6794" w:rsidRDefault="007A2C01" w:rsidP="00BC0730">
            <w:pPr>
              <w:spacing w:line="240" w:lineRule="auto"/>
              <w:jc w:val="both"/>
              <w:rPr>
                <w:rFonts w:ascii="Lato" w:hAnsi="Lato"/>
              </w:rPr>
            </w:pPr>
          </w:p>
        </w:tc>
        <w:tc>
          <w:tcPr>
            <w:tcW w:w="936" w:type="dxa"/>
            <w:gridSpan w:val="3"/>
            <w:tcBorders>
              <w:top w:val="single" w:sz="4" w:space="0" w:color="auto"/>
              <w:left w:val="nil"/>
              <w:bottom w:val="nil"/>
              <w:right w:val="nil"/>
            </w:tcBorders>
          </w:tcPr>
          <w:p w14:paraId="50050B5F" w14:textId="77777777" w:rsidR="007A2C01" w:rsidRPr="004E6794" w:rsidRDefault="007A2C01" w:rsidP="00BC0730">
            <w:pPr>
              <w:spacing w:line="240" w:lineRule="auto"/>
              <w:jc w:val="both"/>
              <w:rPr>
                <w:rFonts w:ascii="Lato" w:hAnsi="Lato"/>
              </w:rPr>
            </w:pPr>
          </w:p>
        </w:tc>
        <w:tc>
          <w:tcPr>
            <w:tcW w:w="366" w:type="dxa"/>
            <w:tcBorders>
              <w:top w:val="nil"/>
              <w:left w:val="nil"/>
              <w:bottom w:val="nil"/>
              <w:right w:val="nil"/>
            </w:tcBorders>
          </w:tcPr>
          <w:p w14:paraId="6C921307" w14:textId="77777777" w:rsidR="007A2C01" w:rsidRPr="004E6794" w:rsidRDefault="007A2C01" w:rsidP="00BC0730">
            <w:pPr>
              <w:spacing w:line="240" w:lineRule="auto"/>
              <w:jc w:val="both"/>
              <w:rPr>
                <w:rFonts w:ascii="Lato" w:hAnsi="Lato"/>
              </w:rPr>
            </w:pPr>
          </w:p>
        </w:tc>
        <w:tc>
          <w:tcPr>
            <w:tcW w:w="631" w:type="dxa"/>
            <w:gridSpan w:val="2"/>
            <w:tcBorders>
              <w:top w:val="nil"/>
              <w:left w:val="nil"/>
              <w:bottom w:val="nil"/>
              <w:right w:val="nil"/>
            </w:tcBorders>
          </w:tcPr>
          <w:p w14:paraId="3AF0D360" w14:textId="77777777" w:rsidR="007A2C01" w:rsidRPr="004E6794" w:rsidRDefault="007A2C01" w:rsidP="00BC0730">
            <w:pPr>
              <w:spacing w:line="240" w:lineRule="auto"/>
              <w:jc w:val="both"/>
              <w:rPr>
                <w:rFonts w:ascii="Lato" w:hAnsi="Lato"/>
              </w:rPr>
            </w:pPr>
          </w:p>
        </w:tc>
      </w:tr>
      <w:tr w:rsidR="00A3353A" w:rsidRPr="00226335" w14:paraId="58F33067" w14:textId="77777777" w:rsidTr="001F55C3">
        <w:tc>
          <w:tcPr>
            <w:tcW w:w="953" w:type="dxa"/>
            <w:gridSpan w:val="2"/>
            <w:tcBorders>
              <w:top w:val="nil"/>
              <w:left w:val="nil"/>
              <w:bottom w:val="nil"/>
              <w:right w:val="nil"/>
            </w:tcBorders>
          </w:tcPr>
          <w:p w14:paraId="3FAE9BC7" w14:textId="77777777" w:rsidR="00A3353A" w:rsidRDefault="00A3353A" w:rsidP="00BC0730">
            <w:pPr>
              <w:spacing w:line="240" w:lineRule="auto"/>
              <w:jc w:val="both"/>
              <w:rPr>
                <w:rFonts w:ascii="Lato" w:hAnsi="Lato"/>
              </w:rPr>
            </w:pPr>
          </w:p>
        </w:tc>
        <w:tc>
          <w:tcPr>
            <w:tcW w:w="5294" w:type="dxa"/>
            <w:gridSpan w:val="3"/>
            <w:tcBorders>
              <w:top w:val="nil"/>
              <w:left w:val="nil"/>
              <w:bottom w:val="nil"/>
              <w:right w:val="nil"/>
            </w:tcBorders>
          </w:tcPr>
          <w:p w14:paraId="289AFB49" w14:textId="77777777" w:rsidR="00A3353A" w:rsidRDefault="00A3353A" w:rsidP="00BC0730">
            <w:pPr>
              <w:spacing w:line="240" w:lineRule="auto"/>
              <w:rPr>
                <w:rFonts w:ascii="Lato" w:hAnsi="Lato"/>
              </w:rPr>
            </w:pPr>
          </w:p>
        </w:tc>
        <w:tc>
          <w:tcPr>
            <w:tcW w:w="819" w:type="dxa"/>
            <w:gridSpan w:val="2"/>
            <w:tcBorders>
              <w:top w:val="nil"/>
              <w:left w:val="nil"/>
              <w:bottom w:val="nil"/>
              <w:right w:val="nil"/>
            </w:tcBorders>
          </w:tcPr>
          <w:p w14:paraId="5CA6D8C3" w14:textId="77777777" w:rsidR="00A3353A" w:rsidRPr="004E6794" w:rsidRDefault="00A3353A" w:rsidP="00BC0730">
            <w:pPr>
              <w:spacing w:line="240" w:lineRule="auto"/>
              <w:jc w:val="both"/>
              <w:rPr>
                <w:rFonts w:ascii="Lato" w:hAnsi="Lato"/>
              </w:rPr>
            </w:pPr>
          </w:p>
        </w:tc>
        <w:tc>
          <w:tcPr>
            <w:tcW w:w="356" w:type="dxa"/>
            <w:gridSpan w:val="2"/>
            <w:tcBorders>
              <w:top w:val="nil"/>
              <w:left w:val="nil"/>
              <w:bottom w:val="nil"/>
              <w:right w:val="nil"/>
            </w:tcBorders>
          </w:tcPr>
          <w:p w14:paraId="07D6A85B" w14:textId="77777777" w:rsidR="00A3353A" w:rsidRPr="004E6794" w:rsidRDefault="00A3353A" w:rsidP="00BC0730">
            <w:pPr>
              <w:spacing w:line="240" w:lineRule="auto"/>
              <w:jc w:val="both"/>
              <w:rPr>
                <w:rFonts w:ascii="Lato" w:hAnsi="Lato"/>
              </w:rPr>
            </w:pPr>
          </w:p>
        </w:tc>
        <w:tc>
          <w:tcPr>
            <w:tcW w:w="1361" w:type="dxa"/>
            <w:gridSpan w:val="2"/>
            <w:tcBorders>
              <w:top w:val="nil"/>
              <w:left w:val="nil"/>
              <w:bottom w:val="nil"/>
              <w:right w:val="nil"/>
            </w:tcBorders>
          </w:tcPr>
          <w:p w14:paraId="510553AB" w14:textId="77777777" w:rsidR="00A3353A" w:rsidRPr="004E6794" w:rsidRDefault="00A3353A" w:rsidP="00BC0730">
            <w:pPr>
              <w:spacing w:line="240" w:lineRule="auto"/>
              <w:jc w:val="both"/>
              <w:rPr>
                <w:rFonts w:ascii="Lato" w:hAnsi="Lato"/>
              </w:rPr>
            </w:pPr>
          </w:p>
        </w:tc>
        <w:tc>
          <w:tcPr>
            <w:tcW w:w="433" w:type="dxa"/>
            <w:gridSpan w:val="2"/>
            <w:tcBorders>
              <w:top w:val="nil"/>
              <w:left w:val="nil"/>
              <w:bottom w:val="nil"/>
              <w:right w:val="nil"/>
            </w:tcBorders>
          </w:tcPr>
          <w:p w14:paraId="5467B231" w14:textId="77777777" w:rsidR="00A3353A" w:rsidRPr="004E6794" w:rsidRDefault="00A3353A" w:rsidP="00BC0730">
            <w:pPr>
              <w:spacing w:line="240" w:lineRule="auto"/>
              <w:jc w:val="both"/>
              <w:rPr>
                <w:rFonts w:ascii="Lato" w:hAnsi="Lato"/>
              </w:rPr>
            </w:pPr>
          </w:p>
        </w:tc>
        <w:tc>
          <w:tcPr>
            <w:tcW w:w="936" w:type="dxa"/>
            <w:gridSpan w:val="3"/>
            <w:tcBorders>
              <w:top w:val="nil"/>
              <w:left w:val="nil"/>
              <w:bottom w:val="nil"/>
              <w:right w:val="nil"/>
            </w:tcBorders>
          </w:tcPr>
          <w:p w14:paraId="292BF14C" w14:textId="77777777" w:rsidR="00A3353A" w:rsidRPr="004E6794" w:rsidRDefault="00A3353A" w:rsidP="00BC0730">
            <w:pPr>
              <w:spacing w:line="240" w:lineRule="auto"/>
              <w:jc w:val="both"/>
              <w:rPr>
                <w:rFonts w:ascii="Lato" w:hAnsi="Lato"/>
              </w:rPr>
            </w:pPr>
          </w:p>
        </w:tc>
        <w:tc>
          <w:tcPr>
            <w:tcW w:w="366" w:type="dxa"/>
            <w:tcBorders>
              <w:top w:val="nil"/>
              <w:left w:val="nil"/>
              <w:bottom w:val="nil"/>
              <w:right w:val="nil"/>
            </w:tcBorders>
          </w:tcPr>
          <w:p w14:paraId="15D4AEE1" w14:textId="77777777" w:rsidR="00A3353A" w:rsidRPr="004E6794" w:rsidRDefault="00A3353A" w:rsidP="00BC0730">
            <w:pPr>
              <w:spacing w:line="240" w:lineRule="auto"/>
              <w:jc w:val="both"/>
              <w:rPr>
                <w:rFonts w:ascii="Lato" w:hAnsi="Lato"/>
              </w:rPr>
            </w:pPr>
          </w:p>
        </w:tc>
        <w:tc>
          <w:tcPr>
            <w:tcW w:w="631" w:type="dxa"/>
            <w:gridSpan w:val="2"/>
            <w:tcBorders>
              <w:top w:val="nil"/>
              <w:left w:val="nil"/>
              <w:bottom w:val="nil"/>
              <w:right w:val="nil"/>
            </w:tcBorders>
          </w:tcPr>
          <w:p w14:paraId="1B459F0B" w14:textId="77777777" w:rsidR="00A3353A" w:rsidRPr="004E6794" w:rsidRDefault="00A3353A" w:rsidP="00BC0730">
            <w:pPr>
              <w:spacing w:line="240" w:lineRule="auto"/>
              <w:jc w:val="both"/>
              <w:rPr>
                <w:rFonts w:ascii="Lato" w:hAnsi="Lato"/>
              </w:rPr>
            </w:pPr>
          </w:p>
        </w:tc>
      </w:tr>
      <w:tr w:rsidR="00825CBD" w:rsidRPr="00226335" w14:paraId="484B3429" w14:textId="77777777" w:rsidTr="001F55C3">
        <w:tc>
          <w:tcPr>
            <w:tcW w:w="11149" w:type="dxa"/>
            <w:gridSpan w:val="19"/>
            <w:tcBorders>
              <w:top w:val="nil"/>
              <w:left w:val="nil"/>
              <w:bottom w:val="nil"/>
              <w:right w:val="nil"/>
            </w:tcBorders>
          </w:tcPr>
          <w:p w14:paraId="5C4E20E9" w14:textId="77777777" w:rsidR="00825CBD" w:rsidRDefault="00825CBD" w:rsidP="001F55C3">
            <w:pPr>
              <w:spacing w:line="240"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6"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7" w:history="1">
              <w:r>
                <w:rPr>
                  <w:rStyle w:val="Hyperlink"/>
                  <w:rFonts w:ascii="Lato" w:hAnsi="Lato"/>
                  <w:sz w:val="20"/>
                  <w:lang w:val="en-US"/>
                </w:rPr>
                <w:t>www.centralbank.ie/fns/privacy-statement</w:t>
              </w:r>
            </w:hyperlink>
            <w:r>
              <w:rPr>
                <w:rFonts w:ascii="Lato" w:hAnsi="Lato"/>
                <w:sz w:val="20"/>
                <w:lang w:val="en-US"/>
              </w:rPr>
              <w:t>.</w:t>
            </w:r>
          </w:p>
          <w:p w14:paraId="4DDD9287" w14:textId="77777777" w:rsidR="00825CBD" w:rsidRPr="004E6794" w:rsidRDefault="00825CBD" w:rsidP="00BC0730">
            <w:pPr>
              <w:spacing w:line="240" w:lineRule="auto"/>
              <w:jc w:val="both"/>
              <w:rPr>
                <w:rFonts w:ascii="Lato" w:hAnsi="Lato"/>
              </w:rPr>
            </w:pPr>
          </w:p>
        </w:tc>
      </w:tr>
      <w:tr w:rsidR="00A3353A" w:rsidRPr="00226335" w14:paraId="67E81C14" w14:textId="77777777" w:rsidTr="00BB6A7F">
        <w:tc>
          <w:tcPr>
            <w:tcW w:w="953" w:type="dxa"/>
            <w:gridSpan w:val="2"/>
            <w:tcBorders>
              <w:top w:val="nil"/>
              <w:left w:val="nil"/>
              <w:bottom w:val="nil"/>
              <w:right w:val="nil"/>
            </w:tcBorders>
          </w:tcPr>
          <w:p w14:paraId="6D53F400" w14:textId="77777777" w:rsidR="00A3353A" w:rsidRDefault="00A3353A" w:rsidP="00BC0730">
            <w:pPr>
              <w:spacing w:line="240" w:lineRule="auto"/>
              <w:jc w:val="both"/>
              <w:rPr>
                <w:rFonts w:ascii="Lato" w:hAnsi="Lato"/>
              </w:rPr>
            </w:pPr>
          </w:p>
        </w:tc>
        <w:tc>
          <w:tcPr>
            <w:tcW w:w="5294" w:type="dxa"/>
            <w:gridSpan w:val="3"/>
            <w:tcBorders>
              <w:top w:val="nil"/>
              <w:left w:val="nil"/>
              <w:bottom w:val="nil"/>
              <w:right w:val="nil"/>
            </w:tcBorders>
          </w:tcPr>
          <w:p w14:paraId="48C492BE" w14:textId="77777777" w:rsidR="00A3353A" w:rsidRDefault="00A3353A" w:rsidP="00BC0730">
            <w:pPr>
              <w:spacing w:line="240" w:lineRule="auto"/>
              <w:rPr>
                <w:rFonts w:ascii="Lato" w:hAnsi="Lato"/>
              </w:rPr>
            </w:pPr>
          </w:p>
        </w:tc>
        <w:tc>
          <w:tcPr>
            <w:tcW w:w="819" w:type="dxa"/>
            <w:gridSpan w:val="2"/>
            <w:tcBorders>
              <w:top w:val="nil"/>
              <w:left w:val="nil"/>
              <w:bottom w:val="nil"/>
              <w:right w:val="nil"/>
            </w:tcBorders>
          </w:tcPr>
          <w:p w14:paraId="383E6ED9" w14:textId="77777777" w:rsidR="00A3353A" w:rsidRPr="004E6794" w:rsidRDefault="00A3353A" w:rsidP="00BC0730">
            <w:pPr>
              <w:spacing w:line="240" w:lineRule="auto"/>
              <w:jc w:val="both"/>
              <w:rPr>
                <w:rFonts w:ascii="Lato" w:hAnsi="Lato"/>
              </w:rPr>
            </w:pPr>
          </w:p>
        </w:tc>
        <w:tc>
          <w:tcPr>
            <w:tcW w:w="356" w:type="dxa"/>
            <w:gridSpan w:val="2"/>
            <w:tcBorders>
              <w:top w:val="nil"/>
              <w:left w:val="nil"/>
              <w:bottom w:val="nil"/>
              <w:right w:val="nil"/>
            </w:tcBorders>
          </w:tcPr>
          <w:p w14:paraId="4E2F3CEB" w14:textId="77777777" w:rsidR="00A3353A" w:rsidRPr="004E6794" w:rsidRDefault="00A3353A" w:rsidP="00BC0730">
            <w:pPr>
              <w:spacing w:line="240" w:lineRule="auto"/>
              <w:jc w:val="both"/>
              <w:rPr>
                <w:rFonts w:ascii="Lato" w:hAnsi="Lato"/>
              </w:rPr>
            </w:pPr>
          </w:p>
        </w:tc>
        <w:tc>
          <w:tcPr>
            <w:tcW w:w="1361" w:type="dxa"/>
            <w:gridSpan w:val="2"/>
            <w:tcBorders>
              <w:top w:val="nil"/>
              <w:left w:val="nil"/>
              <w:bottom w:val="nil"/>
              <w:right w:val="nil"/>
            </w:tcBorders>
          </w:tcPr>
          <w:p w14:paraId="0540E528" w14:textId="77777777" w:rsidR="00A3353A" w:rsidRPr="004E6794" w:rsidRDefault="00A3353A" w:rsidP="00BC0730">
            <w:pPr>
              <w:spacing w:line="240" w:lineRule="auto"/>
              <w:jc w:val="both"/>
              <w:rPr>
                <w:rFonts w:ascii="Lato" w:hAnsi="Lato"/>
              </w:rPr>
            </w:pPr>
          </w:p>
        </w:tc>
        <w:tc>
          <w:tcPr>
            <w:tcW w:w="433" w:type="dxa"/>
            <w:gridSpan w:val="2"/>
            <w:tcBorders>
              <w:top w:val="nil"/>
              <w:left w:val="nil"/>
              <w:bottom w:val="nil"/>
              <w:right w:val="nil"/>
            </w:tcBorders>
          </w:tcPr>
          <w:p w14:paraId="25A3E495" w14:textId="77777777" w:rsidR="00A3353A" w:rsidRPr="004E6794" w:rsidRDefault="00A3353A" w:rsidP="00BC0730">
            <w:pPr>
              <w:spacing w:line="240" w:lineRule="auto"/>
              <w:jc w:val="both"/>
              <w:rPr>
                <w:rFonts w:ascii="Lato" w:hAnsi="Lato"/>
              </w:rPr>
            </w:pPr>
          </w:p>
        </w:tc>
        <w:tc>
          <w:tcPr>
            <w:tcW w:w="936" w:type="dxa"/>
            <w:gridSpan w:val="3"/>
            <w:tcBorders>
              <w:top w:val="nil"/>
              <w:left w:val="nil"/>
              <w:bottom w:val="nil"/>
              <w:right w:val="nil"/>
            </w:tcBorders>
          </w:tcPr>
          <w:p w14:paraId="1B84F2AF" w14:textId="77777777" w:rsidR="00A3353A" w:rsidRPr="004E6794" w:rsidRDefault="00A3353A" w:rsidP="00BC0730">
            <w:pPr>
              <w:spacing w:line="240" w:lineRule="auto"/>
              <w:jc w:val="both"/>
              <w:rPr>
                <w:rFonts w:ascii="Lato" w:hAnsi="Lato"/>
              </w:rPr>
            </w:pPr>
          </w:p>
        </w:tc>
        <w:tc>
          <w:tcPr>
            <w:tcW w:w="366" w:type="dxa"/>
            <w:tcBorders>
              <w:top w:val="nil"/>
              <w:left w:val="nil"/>
              <w:bottom w:val="nil"/>
              <w:right w:val="nil"/>
            </w:tcBorders>
          </w:tcPr>
          <w:p w14:paraId="565EF326" w14:textId="77777777" w:rsidR="00A3353A" w:rsidRPr="004E6794" w:rsidRDefault="00A3353A" w:rsidP="00BC0730">
            <w:pPr>
              <w:spacing w:line="240" w:lineRule="auto"/>
              <w:jc w:val="both"/>
              <w:rPr>
                <w:rFonts w:ascii="Lato" w:hAnsi="Lato"/>
              </w:rPr>
            </w:pPr>
          </w:p>
        </w:tc>
        <w:tc>
          <w:tcPr>
            <w:tcW w:w="631" w:type="dxa"/>
            <w:gridSpan w:val="2"/>
            <w:tcBorders>
              <w:top w:val="nil"/>
              <w:left w:val="nil"/>
              <w:bottom w:val="nil"/>
              <w:right w:val="nil"/>
            </w:tcBorders>
          </w:tcPr>
          <w:p w14:paraId="13A2CEE6" w14:textId="77777777" w:rsidR="00A3353A" w:rsidRPr="004E6794" w:rsidRDefault="00A3353A" w:rsidP="00BC0730">
            <w:pPr>
              <w:spacing w:line="240" w:lineRule="auto"/>
              <w:jc w:val="both"/>
              <w:rPr>
                <w:rFonts w:ascii="Lato" w:hAnsi="Lato"/>
              </w:rPr>
            </w:pPr>
          </w:p>
        </w:tc>
      </w:tr>
    </w:tbl>
    <w:p w14:paraId="6414CE88" w14:textId="77777777" w:rsidR="00511B3E" w:rsidRPr="004E6794" w:rsidRDefault="00511B3E" w:rsidP="00DA1668">
      <w:pPr>
        <w:tabs>
          <w:tab w:val="left" w:pos="1230"/>
        </w:tabs>
        <w:jc w:val="both"/>
        <w:rPr>
          <w:rFonts w:ascii="Lato" w:hAnsi="Lato"/>
        </w:rPr>
        <w:sectPr w:rsidR="00511B3E" w:rsidRPr="004E6794" w:rsidSect="00E54238">
          <w:headerReference w:type="even" r:id="rId18"/>
          <w:headerReference w:type="default" r:id="rId19"/>
          <w:headerReference w:type="first" r:id="rId20"/>
          <w:pgSz w:w="11899" w:h="16838"/>
          <w:pgMar w:top="-1232" w:right="842" w:bottom="709" w:left="426" w:header="136" w:footer="156" w:gutter="0"/>
          <w:cols w:space="708"/>
          <w:titlePg/>
        </w:sectPr>
      </w:pPr>
    </w:p>
    <w:tbl>
      <w:tblPr>
        <w:tblW w:w="10303" w:type="dxa"/>
        <w:tblLayout w:type="fixed"/>
        <w:tblLook w:val="0000" w:firstRow="0" w:lastRow="0" w:firstColumn="0" w:lastColumn="0" w:noHBand="0" w:noVBand="0"/>
      </w:tblPr>
      <w:tblGrid>
        <w:gridCol w:w="675"/>
        <w:gridCol w:w="9617"/>
        <w:gridCol w:w="11"/>
      </w:tblGrid>
      <w:tr w:rsidR="00511B3E" w:rsidRPr="00226335" w14:paraId="36EF01EC" w14:textId="77777777" w:rsidTr="007B13FE">
        <w:trPr>
          <w:gridAfter w:val="1"/>
          <w:wAfter w:w="11" w:type="dxa"/>
        </w:trPr>
        <w:tc>
          <w:tcPr>
            <w:tcW w:w="675" w:type="dxa"/>
          </w:tcPr>
          <w:p w14:paraId="0D441ED0" w14:textId="77777777" w:rsidR="00511B3E" w:rsidRPr="004E6794" w:rsidRDefault="00511B3E" w:rsidP="000001FD">
            <w:pPr>
              <w:pStyle w:val="Footer"/>
              <w:spacing w:line="240" w:lineRule="auto"/>
              <w:jc w:val="center"/>
              <w:rPr>
                <w:rFonts w:ascii="Lato" w:hAnsi="Lato"/>
                <w:b/>
                <w:bCs/>
              </w:rPr>
            </w:pPr>
          </w:p>
        </w:tc>
        <w:tc>
          <w:tcPr>
            <w:tcW w:w="9617" w:type="dxa"/>
          </w:tcPr>
          <w:p w14:paraId="095EB827" w14:textId="77777777" w:rsidR="00C5589D" w:rsidRPr="004E6794" w:rsidRDefault="00C5589D" w:rsidP="000001FD">
            <w:pPr>
              <w:pStyle w:val="Header"/>
              <w:spacing w:line="240" w:lineRule="auto"/>
              <w:jc w:val="center"/>
              <w:rPr>
                <w:rFonts w:ascii="Lato" w:hAnsi="Lato"/>
                <w:b/>
                <w:bCs/>
                <w:sz w:val="24"/>
              </w:rPr>
            </w:pPr>
          </w:p>
          <w:p w14:paraId="45DC7E88" w14:textId="77777777" w:rsidR="00511B3E" w:rsidRPr="004E6794" w:rsidRDefault="00511B3E" w:rsidP="000001FD">
            <w:pPr>
              <w:pStyle w:val="Header"/>
              <w:spacing w:line="240" w:lineRule="auto"/>
              <w:jc w:val="center"/>
              <w:rPr>
                <w:rFonts w:ascii="Lato" w:hAnsi="Lato"/>
                <w:b/>
                <w:bCs/>
                <w:sz w:val="24"/>
              </w:rPr>
            </w:pPr>
            <w:r w:rsidRPr="004E6794">
              <w:rPr>
                <w:rFonts w:ascii="Lato" w:hAnsi="Lato"/>
                <w:b/>
                <w:bCs/>
                <w:sz w:val="24"/>
              </w:rPr>
              <w:t>Appendix 1</w:t>
            </w:r>
          </w:p>
        </w:tc>
      </w:tr>
      <w:tr w:rsidR="00511B3E" w:rsidRPr="00226335" w14:paraId="3A6D4BA8" w14:textId="77777777" w:rsidTr="007B13FE">
        <w:trPr>
          <w:gridAfter w:val="1"/>
          <w:wAfter w:w="11" w:type="dxa"/>
        </w:trPr>
        <w:tc>
          <w:tcPr>
            <w:tcW w:w="675" w:type="dxa"/>
          </w:tcPr>
          <w:p w14:paraId="0A297E66" w14:textId="77777777" w:rsidR="00511B3E" w:rsidRPr="004E6794" w:rsidRDefault="00511B3E" w:rsidP="000001FD">
            <w:pPr>
              <w:pStyle w:val="Footer"/>
              <w:spacing w:line="240" w:lineRule="auto"/>
              <w:jc w:val="center"/>
              <w:rPr>
                <w:rFonts w:ascii="Lato" w:hAnsi="Lato"/>
                <w:b/>
                <w:bCs/>
              </w:rPr>
            </w:pPr>
          </w:p>
        </w:tc>
        <w:tc>
          <w:tcPr>
            <w:tcW w:w="9617" w:type="dxa"/>
          </w:tcPr>
          <w:p w14:paraId="74E2C35A" w14:textId="77777777" w:rsidR="00511B3E" w:rsidRPr="004E6794" w:rsidRDefault="00511B3E" w:rsidP="000001FD">
            <w:pPr>
              <w:pStyle w:val="Header"/>
              <w:spacing w:line="240" w:lineRule="auto"/>
              <w:jc w:val="center"/>
              <w:rPr>
                <w:rFonts w:ascii="Lato" w:hAnsi="Lato"/>
                <w:b/>
                <w:bCs/>
              </w:rPr>
            </w:pPr>
          </w:p>
        </w:tc>
      </w:tr>
      <w:tr w:rsidR="00511B3E" w:rsidRPr="00226335" w14:paraId="55E982AD" w14:textId="77777777" w:rsidTr="007B13FE">
        <w:trPr>
          <w:gridAfter w:val="1"/>
          <w:wAfter w:w="11" w:type="dxa"/>
        </w:trPr>
        <w:tc>
          <w:tcPr>
            <w:tcW w:w="675" w:type="dxa"/>
          </w:tcPr>
          <w:p w14:paraId="0DFC3E88" w14:textId="77777777" w:rsidR="00511B3E" w:rsidRPr="004E6794" w:rsidRDefault="00511B3E" w:rsidP="000001FD">
            <w:pPr>
              <w:pStyle w:val="Footer"/>
              <w:spacing w:line="240" w:lineRule="auto"/>
              <w:jc w:val="center"/>
              <w:rPr>
                <w:rFonts w:ascii="Lato" w:hAnsi="Lato"/>
                <w:b/>
                <w:bCs/>
              </w:rPr>
            </w:pPr>
          </w:p>
        </w:tc>
        <w:tc>
          <w:tcPr>
            <w:tcW w:w="9617" w:type="dxa"/>
          </w:tcPr>
          <w:p w14:paraId="20F79A5C" w14:textId="7BF86589" w:rsidR="00511B3E" w:rsidRPr="004E6794" w:rsidRDefault="00511B3E" w:rsidP="00FA08E0">
            <w:pPr>
              <w:pStyle w:val="Header"/>
              <w:tabs>
                <w:tab w:val="clear" w:pos="4320"/>
                <w:tab w:val="center" w:pos="4134"/>
              </w:tabs>
              <w:spacing w:line="240" w:lineRule="auto"/>
              <w:jc w:val="center"/>
              <w:rPr>
                <w:rFonts w:ascii="Lato" w:hAnsi="Lato"/>
                <w:b/>
              </w:rPr>
            </w:pPr>
            <w:r w:rsidRPr="004E6794">
              <w:rPr>
                <w:rFonts w:ascii="Lato" w:hAnsi="Lato"/>
                <w:b/>
                <w:bCs/>
              </w:rPr>
              <w:t xml:space="preserve"> </w:t>
            </w:r>
            <w:r w:rsidR="00D310D3">
              <w:rPr>
                <w:rFonts w:ascii="Lato" w:hAnsi="Lato"/>
                <w:b/>
                <w:bCs/>
              </w:rPr>
              <w:t>M</w:t>
            </w:r>
            <w:r w:rsidR="00FA08E0">
              <w:rPr>
                <w:rFonts w:ascii="Lato" w:hAnsi="Lato"/>
                <w:b/>
                <w:bCs/>
              </w:rPr>
              <w:t>oney Market Fund (“MMF”)</w:t>
            </w:r>
            <w:r w:rsidR="00D310D3">
              <w:rPr>
                <w:rFonts w:ascii="Lato" w:hAnsi="Lato"/>
                <w:b/>
                <w:bCs/>
              </w:rPr>
              <w:t xml:space="preserve"> </w:t>
            </w:r>
            <w:r w:rsidRPr="004E6794">
              <w:rPr>
                <w:rFonts w:ascii="Lato" w:hAnsi="Lato"/>
                <w:b/>
                <w:bCs/>
              </w:rPr>
              <w:t>Investment Restrictions Template</w:t>
            </w:r>
          </w:p>
        </w:tc>
      </w:tr>
      <w:tr w:rsidR="00511B3E" w:rsidRPr="00226335" w14:paraId="78A4CBB2" w14:textId="77777777" w:rsidTr="007B13FE">
        <w:trPr>
          <w:gridAfter w:val="1"/>
          <w:wAfter w:w="11" w:type="dxa"/>
        </w:trPr>
        <w:tc>
          <w:tcPr>
            <w:tcW w:w="675" w:type="dxa"/>
            <w:tcBorders>
              <w:bottom w:val="single" w:sz="4" w:space="0" w:color="auto"/>
            </w:tcBorders>
          </w:tcPr>
          <w:p w14:paraId="7A471D15" w14:textId="77777777" w:rsidR="00511B3E" w:rsidRPr="004E6794" w:rsidRDefault="00511B3E" w:rsidP="00DA1668">
            <w:pPr>
              <w:pStyle w:val="Footer"/>
              <w:spacing w:line="240" w:lineRule="auto"/>
              <w:jc w:val="both"/>
              <w:rPr>
                <w:rFonts w:ascii="Lato" w:hAnsi="Lato"/>
                <w:b/>
                <w:bCs/>
              </w:rPr>
            </w:pPr>
          </w:p>
        </w:tc>
        <w:tc>
          <w:tcPr>
            <w:tcW w:w="9617" w:type="dxa"/>
            <w:tcBorders>
              <w:bottom w:val="single" w:sz="4" w:space="0" w:color="auto"/>
            </w:tcBorders>
          </w:tcPr>
          <w:p w14:paraId="1533A099" w14:textId="77777777" w:rsidR="00511B3E" w:rsidRPr="004E6794" w:rsidRDefault="00511B3E" w:rsidP="00DA1668">
            <w:pPr>
              <w:pStyle w:val="Header"/>
              <w:spacing w:line="240" w:lineRule="auto"/>
              <w:jc w:val="both"/>
              <w:rPr>
                <w:rFonts w:ascii="Lato" w:hAnsi="Lato"/>
                <w:b/>
              </w:rPr>
            </w:pPr>
          </w:p>
        </w:tc>
      </w:tr>
      <w:tr w:rsidR="00511B3E" w:rsidRPr="00226335" w14:paraId="0FEA35B0" w14:textId="77777777" w:rsidTr="007B13FE">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65275BC1"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w:t>
            </w:r>
          </w:p>
        </w:tc>
        <w:tc>
          <w:tcPr>
            <w:tcW w:w="9617" w:type="dxa"/>
            <w:tcBorders>
              <w:top w:val="single" w:sz="4" w:space="0" w:color="auto"/>
              <w:left w:val="single" w:sz="4" w:space="0" w:color="auto"/>
              <w:bottom w:val="single" w:sz="4" w:space="0" w:color="auto"/>
              <w:right w:val="single" w:sz="4" w:space="0" w:color="auto"/>
            </w:tcBorders>
          </w:tcPr>
          <w:p w14:paraId="31F7F120" w14:textId="035C2C3D" w:rsidR="00511B3E" w:rsidRPr="004E6794" w:rsidRDefault="0003430D" w:rsidP="00BC16BF">
            <w:pPr>
              <w:pStyle w:val="Header"/>
              <w:spacing w:line="240" w:lineRule="auto"/>
              <w:jc w:val="both"/>
              <w:rPr>
                <w:rFonts w:ascii="Lato" w:hAnsi="Lato"/>
                <w:b/>
              </w:rPr>
            </w:pPr>
            <w:r>
              <w:rPr>
                <w:rFonts w:ascii="Lato" w:hAnsi="Lato"/>
                <w:b/>
              </w:rPr>
              <w:t>Eligible Assets</w:t>
            </w:r>
          </w:p>
        </w:tc>
      </w:tr>
      <w:tr w:rsidR="00511B3E" w:rsidRPr="00226335" w14:paraId="5713A8A4" w14:textId="77777777" w:rsidTr="007B13FE">
        <w:trPr>
          <w:gridAfter w:val="1"/>
          <w:wAfter w:w="11" w:type="dxa"/>
        </w:trPr>
        <w:tc>
          <w:tcPr>
            <w:tcW w:w="675" w:type="dxa"/>
            <w:tcBorders>
              <w:top w:val="single" w:sz="4" w:space="0" w:color="auto"/>
              <w:left w:val="single" w:sz="4" w:space="0" w:color="auto"/>
              <w:right w:val="single" w:sz="4" w:space="0" w:color="auto"/>
            </w:tcBorders>
          </w:tcPr>
          <w:p w14:paraId="271A6B58" w14:textId="77777777" w:rsidR="00511B3E" w:rsidRPr="004E6794" w:rsidRDefault="00511B3E" w:rsidP="00DA1668">
            <w:pPr>
              <w:spacing w:line="240" w:lineRule="auto"/>
              <w:jc w:val="both"/>
              <w:rPr>
                <w:rFonts w:ascii="Lato" w:hAnsi="Lato"/>
              </w:rPr>
            </w:pPr>
          </w:p>
        </w:tc>
        <w:tc>
          <w:tcPr>
            <w:tcW w:w="9617" w:type="dxa"/>
            <w:tcBorders>
              <w:top w:val="single" w:sz="4" w:space="0" w:color="auto"/>
              <w:left w:val="single" w:sz="4" w:space="0" w:color="auto"/>
              <w:right w:val="single" w:sz="4" w:space="0" w:color="auto"/>
            </w:tcBorders>
          </w:tcPr>
          <w:p w14:paraId="3B94D09B" w14:textId="525107E3" w:rsidR="00511B3E" w:rsidRPr="004E6794" w:rsidRDefault="0003430D" w:rsidP="00BC16BF">
            <w:pPr>
              <w:pStyle w:val="Header"/>
              <w:spacing w:line="240" w:lineRule="auto"/>
              <w:jc w:val="both"/>
              <w:rPr>
                <w:rFonts w:ascii="Lato" w:hAnsi="Lato"/>
                <w:bCs/>
              </w:rPr>
            </w:pPr>
            <w:r>
              <w:rPr>
                <w:rFonts w:ascii="Lato" w:hAnsi="Lato"/>
                <w:bCs/>
              </w:rPr>
              <w:t xml:space="preserve">An MMF shall invest only in one or more of the following categories of financial assets and only under </w:t>
            </w:r>
            <w:r w:rsidR="00152F2E">
              <w:rPr>
                <w:rFonts w:ascii="Lato" w:hAnsi="Lato"/>
                <w:bCs/>
              </w:rPr>
              <w:t>the conditions specified in the M</w:t>
            </w:r>
            <w:r w:rsidR="00115928">
              <w:rPr>
                <w:rFonts w:ascii="Lato" w:hAnsi="Lato"/>
                <w:bCs/>
              </w:rPr>
              <w:t xml:space="preserve">oney </w:t>
            </w:r>
            <w:r w:rsidR="00152F2E">
              <w:rPr>
                <w:rFonts w:ascii="Lato" w:hAnsi="Lato"/>
                <w:bCs/>
              </w:rPr>
              <w:t>M</w:t>
            </w:r>
            <w:r w:rsidR="00115928">
              <w:rPr>
                <w:rFonts w:ascii="Lato" w:hAnsi="Lato"/>
                <w:bCs/>
              </w:rPr>
              <w:t xml:space="preserve">arket </w:t>
            </w:r>
            <w:r w:rsidR="00152F2E">
              <w:rPr>
                <w:rFonts w:ascii="Lato" w:hAnsi="Lato"/>
                <w:bCs/>
              </w:rPr>
              <w:t>F</w:t>
            </w:r>
            <w:r w:rsidR="00115928">
              <w:rPr>
                <w:rFonts w:ascii="Lato" w:hAnsi="Lato"/>
                <w:bCs/>
              </w:rPr>
              <w:t>und</w:t>
            </w:r>
            <w:r w:rsidR="00152F2E">
              <w:rPr>
                <w:rFonts w:ascii="Lato" w:hAnsi="Lato"/>
                <w:bCs/>
              </w:rPr>
              <w:t xml:space="preserve"> Regulation</w:t>
            </w:r>
            <w:r w:rsidR="00115928">
              <w:rPr>
                <w:rFonts w:ascii="Lato" w:hAnsi="Lato"/>
                <w:bCs/>
              </w:rPr>
              <w:t xml:space="preserve"> (</w:t>
            </w:r>
            <w:r w:rsidR="006D2630">
              <w:rPr>
                <w:rFonts w:ascii="Lato" w:hAnsi="Lato"/>
                <w:bCs/>
              </w:rPr>
              <w:t>“</w:t>
            </w:r>
            <w:r w:rsidR="00115928">
              <w:rPr>
                <w:rFonts w:ascii="Lato" w:hAnsi="Lato"/>
                <w:bCs/>
              </w:rPr>
              <w:t>MMFR</w:t>
            </w:r>
            <w:r w:rsidR="006D2630">
              <w:rPr>
                <w:rFonts w:ascii="Lato" w:hAnsi="Lato"/>
                <w:bCs/>
              </w:rPr>
              <w:t>”</w:t>
            </w:r>
            <w:r w:rsidR="00115928">
              <w:rPr>
                <w:rFonts w:ascii="Lato" w:hAnsi="Lato"/>
                <w:bCs/>
              </w:rPr>
              <w:t>)</w:t>
            </w:r>
            <w:r w:rsidR="00511B3E" w:rsidRPr="004E6794">
              <w:rPr>
                <w:rFonts w:ascii="Lato" w:hAnsi="Lato"/>
                <w:bCs/>
              </w:rPr>
              <w:t>:</w:t>
            </w:r>
            <w:r w:rsidR="00BC16BF">
              <w:rPr>
                <w:rFonts w:ascii="Lato" w:hAnsi="Lato"/>
                <w:bCs/>
              </w:rPr>
              <w:t xml:space="preserve"> </w:t>
            </w:r>
          </w:p>
        </w:tc>
      </w:tr>
      <w:tr w:rsidR="00511B3E" w:rsidRPr="00226335" w14:paraId="3B01EC82" w14:textId="77777777" w:rsidTr="007B13FE">
        <w:trPr>
          <w:gridAfter w:val="1"/>
          <w:wAfter w:w="11" w:type="dxa"/>
        </w:trPr>
        <w:tc>
          <w:tcPr>
            <w:tcW w:w="675" w:type="dxa"/>
            <w:tcBorders>
              <w:left w:val="single" w:sz="4" w:space="0" w:color="auto"/>
              <w:right w:val="single" w:sz="4" w:space="0" w:color="auto"/>
            </w:tcBorders>
          </w:tcPr>
          <w:p w14:paraId="28398FB8"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1.1</w:t>
            </w:r>
          </w:p>
        </w:tc>
        <w:tc>
          <w:tcPr>
            <w:tcW w:w="9617" w:type="dxa"/>
            <w:tcBorders>
              <w:left w:val="single" w:sz="4" w:space="0" w:color="auto"/>
              <w:right w:val="single" w:sz="4" w:space="0" w:color="auto"/>
            </w:tcBorders>
          </w:tcPr>
          <w:p w14:paraId="434B4E26" w14:textId="60EF0A98" w:rsidR="00511B3E" w:rsidRPr="004E6794" w:rsidRDefault="00BD3165" w:rsidP="00BC16BF">
            <w:pPr>
              <w:pStyle w:val="Header"/>
              <w:spacing w:line="240" w:lineRule="auto"/>
              <w:jc w:val="both"/>
              <w:rPr>
                <w:rFonts w:ascii="Lato" w:hAnsi="Lato"/>
                <w:bCs/>
              </w:rPr>
            </w:pPr>
            <w:r>
              <w:rPr>
                <w:rFonts w:ascii="Lato" w:hAnsi="Lato"/>
                <w:bCs/>
              </w:rPr>
              <w:t>M</w:t>
            </w:r>
            <w:r w:rsidR="00511B3E" w:rsidRPr="004E6794">
              <w:rPr>
                <w:rFonts w:ascii="Lato" w:hAnsi="Lato"/>
                <w:bCs/>
              </w:rPr>
              <w:t>oney market instruments</w:t>
            </w:r>
            <w:r w:rsidR="00BC16BF">
              <w:rPr>
                <w:rFonts w:ascii="Lato" w:hAnsi="Lato"/>
                <w:bCs/>
              </w:rPr>
              <w:t>.</w:t>
            </w:r>
          </w:p>
        </w:tc>
      </w:tr>
      <w:tr w:rsidR="00511B3E" w:rsidRPr="00226335" w14:paraId="0AB7F93A" w14:textId="77777777" w:rsidTr="007B13FE">
        <w:trPr>
          <w:gridAfter w:val="1"/>
          <w:wAfter w:w="11" w:type="dxa"/>
        </w:trPr>
        <w:tc>
          <w:tcPr>
            <w:tcW w:w="675" w:type="dxa"/>
            <w:tcBorders>
              <w:left w:val="single" w:sz="4" w:space="0" w:color="auto"/>
              <w:right w:val="single" w:sz="4" w:space="0" w:color="auto"/>
            </w:tcBorders>
          </w:tcPr>
          <w:p w14:paraId="53DB15DC"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16E28293" w14:textId="77777777" w:rsidR="00511B3E" w:rsidRPr="004E6794" w:rsidRDefault="00511B3E" w:rsidP="00DA1668">
            <w:pPr>
              <w:pStyle w:val="Header"/>
              <w:spacing w:line="240" w:lineRule="auto"/>
              <w:jc w:val="both"/>
              <w:rPr>
                <w:rFonts w:ascii="Lato" w:hAnsi="Lato"/>
                <w:b/>
              </w:rPr>
            </w:pPr>
          </w:p>
        </w:tc>
      </w:tr>
      <w:tr w:rsidR="00511B3E" w:rsidRPr="00226335" w14:paraId="63D1F7C1" w14:textId="77777777" w:rsidTr="007B13FE">
        <w:trPr>
          <w:gridAfter w:val="1"/>
          <w:wAfter w:w="11" w:type="dxa"/>
        </w:trPr>
        <w:tc>
          <w:tcPr>
            <w:tcW w:w="675" w:type="dxa"/>
            <w:tcBorders>
              <w:left w:val="single" w:sz="4" w:space="0" w:color="auto"/>
              <w:right w:val="single" w:sz="4" w:space="0" w:color="auto"/>
            </w:tcBorders>
          </w:tcPr>
          <w:p w14:paraId="4EE0E5E9" w14:textId="77777777" w:rsidR="00511B3E" w:rsidRPr="004E6794" w:rsidRDefault="00511B3E" w:rsidP="00DA1668">
            <w:pPr>
              <w:pStyle w:val="Footer"/>
              <w:spacing w:line="240" w:lineRule="auto"/>
              <w:jc w:val="both"/>
              <w:rPr>
                <w:rFonts w:ascii="Lato" w:hAnsi="Lato"/>
                <w:b/>
                <w:bCs/>
              </w:rPr>
            </w:pPr>
            <w:r w:rsidRPr="004E6794">
              <w:rPr>
                <w:rFonts w:ascii="Lato" w:hAnsi="Lato"/>
                <w:b/>
                <w:bCs/>
              </w:rPr>
              <w:t>1.2</w:t>
            </w:r>
          </w:p>
        </w:tc>
        <w:tc>
          <w:tcPr>
            <w:tcW w:w="9617" w:type="dxa"/>
            <w:tcBorders>
              <w:left w:val="single" w:sz="4" w:space="0" w:color="auto"/>
              <w:right w:val="single" w:sz="4" w:space="0" w:color="auto"/>
            </w:tcBorders>
          </w:tcPr>
          <w:p w14:paraId="24E0EC32" w14:textId="4D765783" w:rsidR="00511B3E" w:rsidRPr="004E6794" w:rsidRDefault="00152F2E" w:rsidP="000B79F8">
            <w:pPr>
              <w:pStyle w:val="Header"/>
              <w:spacing w:line="240" w:lineRule="auto"/>
              <w:jc w:val="both"/>
              <w:rPr>
                <w:rFonts w:ascii="Lato" w:hAnsi="Lato"/>
                <w:bCs/>
              </w:rPr>
            </w:pPr>
            <w:r>
              <w:rPr>
                <w:rFonts w:ascii="Lato" w:hAnsi="Lato"/>
                <w:bCs/>
              </w:rPr>
              <w:t>Eligible s</w:t>
            </w:r>
            <w:r w:rsidR="000B79F8" w:rsidRPr="000B79F8">
              <w:rPr>
                <w:rFonts w:ascii="Lato" w:hAnsi="Lato"/>
                <w:bCs/>
              </w:rPr>
              <w:t>ecuritisations and asset-</w:t>
            </w:r>
            <w:r w:rsidR="000B79F8">
              <w:rPr>
                <w:rFonts w:ascii="Lato" w:hAnsi="Lato"/>
                <w:bCs/>
              </w:rPr>
              <w:t>backed commercial paper (</w:t>
            </w:r>
            <w:r w:rsidR="001055F6">
              <w:rPr>
                <w:rFonts w:ascii="Lato" w:hAnsi="Lato"/>
                <w:bCs/>
              </w:rPr>
              <w:t>“</w:t>
            </w:r>
            <w:r w:rsidR="000B79F8">
              <w:rPr>
                <w:rFonts w:ascii="Lato" w:hAnsi="Lato"/>
                <w:bCs/>
              </w:rPr>
              <w:t>ABCPs</w:t>
            </w:r>
            <w:r w:rsidR="001055F6">
              <w:rPr>
                <w:rFonts w:ascii="Lato" w:hAnsi="Lato"/>
                <w:bCs/>
              </w:rPr>
              <w:t>”</w:t>
            </w:r>
            <w:r w:rsidR="000B79F8">
              <w:rPr>
                <w:rFonts w:ascii="Lato" w:hAnsi="Lato"/>
                <w:bCs/>
              </w:rPr>
              <w:t>).</w:t>
            </w:r>
            <w:r w:rsidR="00511B3E" w:rsidRPr="004E6794">
              <w:rPr>
                <w:rFonts w:ascii="Lato" w:hAnsi="Lato"/>
                <w:bCs/>
              </w:rPr>
              <w:t xml:space="preserve"> </w:t>
            </w:r>
          </w:p>
        </w:tc>
      </w:tr>
      <w:tr w:rsidR="00511B3E" w:rsidRPr="00226335" w14:paraId="16594B2E" w14:textId="77777777" w:rsidTr="007B13FE">
        <w:trPr>
          <w:gridAfter w:val="1"/>
          <w:wAfter w:w="11" w:type="dxa"/>
        </w:trPr>
        <w:tc>
          <w:tcPr>
            <w:tcW w:w="675" w:type="dxa"/>
            <w:tcBorders>
              <w:left w:val="single" w:sz="4" w:space="0" w:color="auto"/>
              <w:right w:val="single" w:sz="4" w:space="0" w:color="auto"/>
            </w:tcBorders>
          </w:tcPr>
          <w:p w14:paraId="091A8CCB"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5A980DE1" w14:textId="77777777" w:rsidR="00511B3E" w:rsidRPr="004E6794" w:rsidRDefault="00511B3E" w:rsidP="00DA1668">
            <w:pPr>
              <w:pStyle w:val="Header"/>
              <w:spacing w:line="240" w:lineRule="auto"/>
              <w:jc w:val="both"/>
              <w:rPr>
                <w:rFonts w:ascii="Lato" w:hAnsi="Lato"/>
                <w:b/>
              </w:rPr>
            </w:pPr>
          </w:p>
        </w:tc>
      </w:tr>
      <w:tr w:rsidR="00511B3E" w:rsidRPr="00226335" w14:paraId="0A8DD231" w14:textId="77777777" w:rsidTr="007B13FE">
        <w:trPr>
          <w:gridAfter w:val="1"/>
          <w:wAfter w:w="11" w:type="dxa"/>
        </w:trPr>
        <w:tc>
          <w:tcPr>
            <w:tcW w:w="675" w:type="dxa"/>
            <w:tcBorders>
              <w:left w:val="single" w:sz="4" w:space="0" w:color="auto"/>
              <w:right w:val="single" w:sz="4" w:space="0" w:color="auto"/>
            </w:tcBorders>
          </w:tcPr>
          <w:p w14:paraId="7AA5E066" w14:textId="77777777" w:rsidR="00511B3E" w:rsidRPr="004E6794" w:rsidRDefault="00511B3E" w:rsidP="00DA1668">
            <w:pPr>
              <w:spacing w:line="240" w:lineRule="auto"/>
              <w:jc w:val="both"/>
              <w:rPr>
                <w:rFonts w:ascii="Lato" w:hAnsi="Lato"/>
                <w:b/>
                <w:bCs/>
              </w:rPr>
            </w:pPr>
            <w:r w:rsidRPr="004E6794">
              <w:rPr>
                <w:rFonts w:ascii="Lato" w:hAnsi="Lato"/>
                <w:b/>
                <w:bCs/>
              </w:rPr>
              <w:t>1.3</w:t>
            </w:r>
          </w:p>
        </w:tc>
        <w:tc>
          <w:tcPr>
            <w:tcW w:w="9617" w:type="dxa"/>
            <w:tcBorders>
              <w:left w:val="single" w:sz="4" w:space="0" w:color="auto"/>
              <w:right w:val="single" w:sz="4" w:space="0" w:color="auto"/>
            </w:tcBorders>
          </w:tcPr>
          <w:p w14:paraId="489EAE34" w14:textId="500824D0" w:rsidR="00511B3E" w:rsidRPr="004E6794" w:rsidRDefault="00152F2E" w:rsidP="00876A20">
            <w:pPr>
              <w:pStyle w:val="Header"/>
              <w:spacing w:line="240" w:lineRule="auto"/>
              <w:jc w:val="both"/>
              <w:rPr>
                <w:rFonts w:ascii="Lato" w:hAnsi="Lato"/>
                <w:bCs/>
              </w:rPr>
            </w:pPr>
            <w:r>
              <w:rPr>
                <w:rFonts w:ascii="Lato" w:hAnsi="Lato"/>
                <w:bCs/>
              </w:rPr>
              <w:t xml:space="preserve">Deposits with credit institutions. </w:t>
            </w:r>
          </w:p>
        </w:tc>
      </w:tr>
      <w:tr w:rsidR="00511B3E" w:rsidRPr="00226335" w14:paraId="71F9E236" w14:textId="77777777" w:rsidTr="007B13FE">
        <w:trPr>
          <w:gridAfter w:val="1"/>
          <w:wAfter w:w="11" w:type="dxa"/>
        </w:trPr>
        <w:tc>
          <w:tcPr>
            <w:tcW w:w="675" w:type="dxa"/>
            <w:tcBorders>
              <w:left w:val="single" w:sz="4" w:space="0" w:color="auto"/>
              <w:right w:val="single" w:sz="4" w:space="0" w:color="auto"/>
            </w:tcBorders>
          </w:tcPr>
          <w:p w14:paraId="7DC55858"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16DB312A" w14:textId="77777777" w:rsidR="00511B3E" w:rsidRPr="004E6794" w:rsidRDefault="00511B3E" w:rsidP="00DA1668">
            <w:pPr>
              <w:pStyle w:val="Header"/>
              <w:tabs>
                <w:tab w:val="left" w:pos="318"/>
              </w:tabs>
              <w:spacing w:line="240" w:lineRule="auto"/>
              <w:jc w:val="both"/>
              <w:rPr>
                <w:rFonts w:ascii="Lato" w:hAnsi="Lato"/>
                <w:b/>
              </w:rPr>
            </w:pPr>
          </w:p>
        </w:tc>
      </w:tr>
      <w:tr w:rsidR="00511B3E" w:rsidRPr="00226335" w14:paraId="50A0D2D8" w14:textId="77777777" w:rsidTr="007B13FE">
        <w:trPr>
          <w:gridAfter w:val="1"/>
          <w:wAfter w:w="11" w:type="dxa"/>
        </w:trPr>
        <w:tc>
          <w:tcPr>
            <w:tcW w:w="675" w:type="dxa"/>
            <w:tcBorders>
              <w:left w:val="single" w:sz="4" w:space="0" w:color="auto"/>
              <w:right w:val="single" w:sz="4" w:space="0" w:color="auto"/>
            </w:tcBorders>
          </w:tcPr>
          <w:p w14:paraId="1A68162C" w14:textId="77777777" w:rsidR="00511B3E" w:rsidRPr="004E6794" w:rsidRDefault="00511B3E" w:rsidP="00DA1668">
            <w:pPr>
              <w:spacing w:line="240" w:lineRule="auto"/>
              <w:jc w:val="both"/>
              <w:rPr>
                <w:rFonts w:ascii="Lato" w:hAnsi="Lato"/>
                <w:b/>
                <w:bCs/>
              </w:rPr>
            </w:pPr>
            <w:r w:rsidRPr="004E6794">
              <w:rPr>
                <w:rFonts w:ascii="Lato" w:hAnsi="Lato"/>
                <w:b/>
                <w:bCs/>
              </w:rPr>
              <w:t>1.4</w:t>
            </w:r>
          </w:p>
        </w:tc>
        <w:tc>
          <w:tcPr>
            <w:tcW w:w="9617" w:type="dxa"/>
            <w:tcBorders>
              <w:left w:val="single" w:sz="4" w:space="0" w:color="auto"/>
              <w:right w:val="single" w:sz="4" w:space="0" w:color="auto"/>
            </w:tcBorders>
          </w:tcPr>
          <w:p w14:paraId="262766D5" w14:textId="637932CD" w:rsidR="00511B3E" w:rsidRPr="004E6794" w:rsidRDefault="000F6FC3" w:rsidP="00876A20">
            <w:pPr>
              <w:pStyle w:val="Header"/>
              <w:tabs>
                <w:tab w:val="left" w:pos="318"/>
              </w:tabs>
              <w:spacing w:line="240" w:lineRule="auto"/>
              <w:jc w:val="both"/>
              <w:rPr>
                <w:rFonts w:ascii="Lato" w:hAnsi="Lato"/>
                <w:bCs/>
              </w:rPr>
            </w:pPr>
            <w:r>
              <w:rPr>
                <w:rFonts w:ascii="Lato" w:hAnsi="Lato"/>
                <w:bCs/>
              </w:rPr>
              <w:t xml:space="preserve">Financial derivative instruments. </w:t>
            </w:r>
          </w:p>
        </w:tc>
      </w:tr>
      <w:tr w:rsidR="00511B3E" w:rsidRPr="00226335" w14:paraId="34FF8AAE" w14:textId="77777777" w:rsidTr="007B13FE">
        <w:trPr>
          <w:gridAfter w:val="1"/>
          <w:wAfter w:w="11" w:type="dxa"/>
        </w:trPr>
        <w:tc>
          <w:tcPr>
            <w:tcW w:w="675" w:type="dxa"/>
            <w:tcBorders>
              <w:left w:val="single" w:sz="4" w:space="0" w:color="auto"/>
              <w:right w:val="single" w:sz="4" w:space="0" w:color="auto"/>
            </w:tcBorders>
          </w:tcPr>
          <w:p w14:paraId="44C57DAA"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772AA63" w14:textId="77777777" w:rsidR="00511B3E" w:rsidRPr="004E6794" w:rsidRDefault="00511B3E" w:rsidP="00DA1668">
            <w:pPr>
              <w:pStyle w:val="Heading1"/>
              <w:spacing w:before="0" w:after="0" w:line="240" w:lineRule="auto"/>
              <w:jc w:val="both"/>
              <w:rPr>
                <w:rFonts w:ascii="Lato" w:hAnsi="Lato"/>
                <w:b/>
                <w:color w:val="auto"/>
                <w:sz w:val="22"/>
              </w:rPr>
            </w:pPr>
          </w:p>
        </w:tc>
      </w:tr>
      <w:tr w:rsidR="00511B3E" w:rsidRPr="00226335" w14:paraId="2BD567F2" w14:textId="77777777" w:rsidTr="007B13FE">
        <w:trPr>
          <w:gridAfter w:val="1"/>
          <w:wAfter w:w="11" w:type="dxa"/>
        </w:trPr>
        <w:tc>
          <w:tcPr>
            <w:tcW w:w="675" w:type="dxa"/>
            <w:tcBorders>
              <w:left w:val="single" w:sz="4" w:space="0" w:color="auto"/>
              <w:right w:val="single" w:sz="4" w:space="0" w:color="auto"/>
            </w:tcBorders>
          </w:tcPr>
          <w:p w14:paraId="4A781292" w14:textId="77777777" w:rsidR="00511B3E" w:rsidRPr="004E6794" w:rsidRDefault="00511B3E" w:rsidP="00DA1668">
            <w:pPr>
              <w:spacing w:line="240" w:lineRule="auto"/>
              <w:jc w:val="both"/>
              <w:rPr>
                <w:rFonts w:ascii="Lato" w:hAnsi="Lato"/>
                <w:b/>
                <w:bCs/>
              </w:rPr>
            </w:pPr>
            <w:r w:rsidRPr="004E6794">
              <w:rPr>
                <w:rFonts w:ascii="Lato" w:hAnsi="Lato"/>
                <w:b/>
                <w:bCs/>
              </w:rPr>
              <w:t>1.5</w:t>
            </w:r>
          </w:p>
        </w:tc>
        <w:tc>
          <w:tcPr>
            <w:tcW w:w="9617" w:type="dxa"/>
            <w:tcBorders>
              <w:left w:val="single" w:sz="4" w:space="0" w:color="auto"/>
              <w:right w:val="single" w:sz="4" w:space="0" w:color="auto"/>
            </w:tcBorders>
          </w:tcPr>
          <w:p w14:paraId="7B6D5150" w14:textId="5EC7AEE0" w:rsidR="00511B3E" w:rsidRPr="004E6794" w:rsidRDefault="000F6FC3" w:rsidP="003475E2">
            <w:pPr>
              <w:pStyle w:val="Heading1"/>
              <w:spacing w:before="0" w:after="0" w:line="240" w:lineRule="auto"/>
              <w:jc w:val="both"/>
              <w:rPr>
                <w:rFonts w:ascii="Lato" w:hAnsi="Lato"/>
                <w:bCs/>
                <w:color w:val="auto"/>
                <w:sz w:val="22"/>
              </w:rPr>
            </w:pPr>
            <w:r>
              <w:rPr>
                <w:rFonts w:ascii="Lato" w:hAnsi="Lato"/>
                <w:bCs/>
                <w:color w:val="auto"/>
                <w:sz w:val="22"/>
              </w:rPr>
              <w:t>Repurchase agreements</w:t>
            </w:r>
            <w:r w:rsidR="006D2630">
              <w:rPr>
                <w:rFonts w:ascii="Lato" w:hAnsi="Lato"/>
                <w:bCs/>
                <w:color w:val="auto"/>
                <w:sz w:val="22"/>
              </w:rPr>
              <w:t xml:space="preserve"> that fulfil the conditions set out in Article 14</w:t>
            </w:r>
            <w:r>
              <w:rPr>
                <w:rFonts w:ascii="Lato" w:hAnsi="Lato"/>
                <w:bCs/>
                <w:color w:val="auto"/>
                <w:sz w:val="22"/>
              </w:rPr>
              <w:t>.</w:t>
            </w:r>
          </w:p>
        </w:tc>
      </w:tr>
      <w:tr w:rsidR="00511B3E" w:rsidRPr="00226335" w14:paraId="4C2BB8A4" w14:textId="77777777" w:rsidTr="007B13FE">
        <w:trPr>
          <w:gridAfter w:val="1"/>
          <w:wAfter w:w="11" w:type="dxa"/>
        </w:trPr>
        <w:tc>
          <w:tcPr>
            <w:tcW w:w="675" w:type="dxa"/>
            <w:tcBorders>
              <w:left w:val="single" w:sz="4" w:space="0" w:color="auto"/>
              <w:right w:val="single" w:sz="4" w:space="0" w:color="auto"/>
            </w:tcBorders>
          </w:tcPr>
          <w:p w14:paraId="35016863"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120E5DA8" w14:textId="77777777" w:rsidR="00511B3E" w:rsidRPr="004E6794" w:rsidRDefault="00511B3E" w:rsidP="00DA1668">
            <w:pPr>
              <w:pStyle w:val="Header"/>
              <w:spacing w:line="240" w:lineRule="auto"/>
              <w:jc w:val="both"/>
              <w:rPr>
                <w:rFonts w:ascii="Lato" w:hAnsi="Lato"/>
                <w:b/>
              </w:rPr>
            </w:pPr>
          </w:p>
        </w:tc>
      </w:tr>
      <w:tr w:rsidR="00511B3E" w:rsidRPr="00226335" w14:paraId="57D26419" w14:textId="77777777" w:rsidTr="007B13FE">
        <w:trPr>
          <w:gridAfter w:val="1"/>
          <w:wAfter w:w="11" w:type="dxa"/>
        </w:trPr>
        <w:tc>
          <w:tcPr>
            <w:tcW w:w="675" w:type="dxa"/>
            <w:tcBorders>
              <w:left w:val="single" w:sz="4" w:space="0" w:color="auto"/>
              <w:right w:val="single" w:sz="4" w:space="0" w:color="auto"/>
            </w:tcBorders>
          </w:tcPr>
          <w:p w14:paraId="445757C6" w14:textId="77777777" w:rsidR="00511B3E" w:rsidRPr="004E6794" w:rsidRDefault="00511B3E" w:rsidP="00DA1668">
            <w:pPr>
              <w:spacing w:line="240" w:lineRule="auto"/>
              <w:jc w:val="both"/>
              <w:rPr>
                <w:rFonts w:ascii="Lato" w:hAnsi="Lato"/>
                <w:b/>
                <w:bCs/>
              </w:rPr>
            </w:pPr>
            <w:r w:rsidRPr="004E6794">
              <w:rPr>
                <w:rFonts w:ascii="Lato" w:hAnsi="Lato"/>
                <w:b/>
                <w:bCs/>
              </w:rPr>
              <w:t>1.6</w:t>
            </w:r>
          </w:p>
        </w:tc>
        <w:tc>
          <w:tcPr>
            <w:tcW w:w="9617" w:type="dxa"/>
            <w:tcBorders>
              <w:left w:val="single" w:sz="4" w:space="0" w:color="auto"/>
              <w:right w:val="single" w:sz="4" w:space="0" w:color="auto"/>
            </w:tcBorders>
          </w:tcPr>
          <w:p w14:paraId="65CF2BDB" w14:textId="2D8CB6A5" w:rsidR="00511B3E" w:rsidRPr="004E6794" w:rsidRDefault="000F6FC3" w:rsidP="003475E2">
            <w:pPr>
              <w:pStyle w:val="Header"/>
              <w:spacing w:line="240" w:lineRule="auto"/>
              <w:jc w:val="both"/>
              <w:rPr>
                <w:rFonts w:ascii="Lato" w:hAnsi="Lato"/>
                <w:bCs/>
              </w:rPr>
            </w:pPr>
            <w:r>
              <w:rPr>
                <w:rFonts w:ascii="Lato" w:hAnsi="Lato"/>
                <w:bCs/>
              </w:rPr>
              <w:t>Reverse repurchase agreements</w:t>
            </w:r>
            <w:r w:rsidR="00445305">
              <w:rPr>
                <w:rFonts w:ascii="Lato" w:hAnsi="Lato"/>
                <w:bCs/>
              </w:rPr>
              <w:t xml:space="preserve"> that fulfil the conditions set out in Article 15</w:t>
            </w:r>
            <w:r>
              <w:rPr>
                <w:rFonts w:ascii="Lato" w:hAnsi="Lato"/>
                <w:bCs/>
              </w:rPr>
              <w:t xml:space="preserve">. </w:t>
            </w:r>
          </w:p>
        </w:tc>
      </w:tr>
      <w:tr w:rsidR="00511B3E" w:rsidRPr="00226335" w14:paraId="5CB9D524" w14:textId="77777777" w:rsidTr="007B13FE">
        <w:trPr>
          <w:gridAfter w:val="1"/>
          <w:wAfter w:w="11" w:type="dxa"/>
        </w:trPr>
        <w:tc>
          <w:tcPr>
            <w:tcW w:w="675" w:type="dxa"/>
            <w:tcBorders>
              <w:left w:val="single" w:sz="4" w:space="0" w:color="auto"/>
              <w:right w:val="single" w:sz="4" w:space="0" w:color="auto"/>
            </w:tcBorders>
          </w:tcPr>
          <w:p w14:paraId="3D56F05E"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4B502575" w14:textId="77777777" w:rsidR="00511B3E" w:rsidRPr="004E6794" w:rsidRDefault="00511B3E" w:rsidP="00DA1668">
            <w:pPr>
              <w:pStyle w:val="Header"/>
              <w:spacing w:line="240" w:lineRule="auto"/>
              <w:jc w:val="both"/>
              <w:rPr>
                <w:rFonts w:ascii="Lato" w:hAnsi="Lato"/>
                <w:b/>
              </w:rPr>
            </w:pPr>
          </w:p>
        </w:tc>
      </w:tr>
      <w:tr w:rsidR="00511B3E" w:rsidRPr="00226335" w14:paraId="739AA12F" w14:textId="77777777" w:rsidTr="007B13FE">
        <w:trPr>
          <w:gridAfter w:val="1"/>
          <w:wAfter w:w="11" w:type="dxa"/>
        </w:trPr>
        <w:tc>
          <w:tcPr>
            <w:tcW w:w="675" w:type="dxa"/>
            <w:tcBorders>
              <w:left w:val="single" w:sz="4" w:space="0" w:color="auto"/>
              <w:right w:val="single" w:sz="4" w:space="0" w:color="auto"/>
            </w:tcBorders>
          </w:tcPr>
          <w:p w14:paraId="6032A589" w14:textId="77777777" w:rsidR="00511B3E" w:rsidRPr="004E6794" w:rsidRDefault="00511B3E" w:rsidP="00DA1668">
            <w:pPr>
              <w:spacing w:line="240" w:lineRule="auto"/>
              <w:jc w:val="both"/>
              <w:rPr>
                <w:rFonts w:ascii="Lato" w:hAnsi="Lato"/>
                <w:b/>
                <w:bCs/>
              </w:rPr>
            </w:pPr>
            <w:r w:rsidRPr="004E6794">
              <w:rPr>
                <w:rFonts w:ascii="Lato" w:hAnsi="Lato"/>
                <w:b/>
                <w:bCs/>
              </w:rPr>
              <w:t>1.7</w:t>
            </w:r>
          </w:p>
        </w:tc>
        <w:tc>
          <w:tcPr>
            <w:tcW w:w="9617" w:type="dxa"/>
            <w:tcBorders>
              <w:left w:val="single" w:sz="4" w:space="0" w:color="auto"/>
              <w:right w:val="single" w:sz="4" w:space="0" w:color="auto"/>
            </w:tcBorders>
          </w:tcPr>
          <w:p w14:paraId="12056259" w14:textId="79F808C9" w:rsidR="00511B3E" w:rsidRPr="004E6794" w:rsidRDefault="000F6FC3" w:rsidP="003475E2">
            <w:pPr>
              <w:pStyle w:val="Header"/>
              <w:spacing w:line="240" w:lineRule="auto"/>
              <w:jc w:val="both"/>
              <w:rPr>
                <w:rFonts w:ascii="Lato" w:hAnsi="Lato"/>
                <w:bCs/>
              </w:rPr>
            </w:pPr>
            <w:r>
              <w:rPr>
                <w:rFonts w:ascii="Lato" w:hAnsi="Lato"/>
                <w:bCs/>
              </w:rPr>
              <w:t xml:space="preserve">Units or shares of other MMFs. </w:t>
            </w:r>
          </w:p>
        </w:tc>
      </w:tr>
      <w:tr w:rsidR="00511B3E" w:rsidRPr="00226335" w14:paraId="2C5D0F6B" w14:textId="77777777" w:rsidTr="007B13FE">
        <w:trPr>
          <w:gridAfter w:val="1"/>
          <w:wAfter w:w="11" w:type="dxa"/>
        </w:trPr>
        <w:tc>
          <w:tcPr>
            <w:tcW w:w="675" w:type="dxa"/>
            <w:tcBorders>
              <w:left w:val="single" w:sz="4" w:space="0" w:color="auto"/>
              <w:bottom w:val="single" w:sz="4" w:space="0" w:color="auto"/>
              <w:right w:val="single" w:sz="4" w:space="0" w:color="auto"/>
            </w:tcBorders>
          </w:tcPr>
          <w:p w14:paraId="0E267267"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bottom w:val="single" w:sz="4" w:space="0" w:color="auto"/>
              <w:right w:val="single" w:sz="4" w:space="0" w:color="auto"/>
            </w:tcBorders>
          </w:tcPr>
          <w:p w14:paraId="73FF834D" w14:textId="77777777" w:rsidR="00511B3E" w:rsidRPr="004E6794" w:rsidRDefault="00511B3E" w:rsidP="00DA1668">
            <w:pPr>
              <w:pStyle w:val="Header"/>
              <w:spacing w:line="240" w:lineRule="auto"/>
              <w:jc w:val="both"/>
              <w:rPr>
                <w:rFonts w:ascii="Lato" w:hAnsi="Lato"/>
                <w:b/>
              </w:rPr>
            </w:pPr>
          </w:p>
        </w:tc>
      </w:tr>
      <w:tr w:rsidR="00511B3E" w:rsidRPr="00226335" w14:paraId="38E79D35" w14:textId="77777777" w:rsidTr="007B13FE">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09254BD3" w14:textId="77777777" w:rsidR="00511B3E" w:rsidRPr="004E6794" w:rsidRDefault="00511B3E" w:rsidP="00DA1668">
            <w:pPr>
              <w:spacing w:line="240" w:lineRule="auto"/>
              <w:jc w:val="both"/>
              <w:rPr>
                <w:rFonts w:ascii="Lato" w:hAnsi="Lato"/>
                <w:b/>
                <w:bCs/>
              </w:rPr>
            </w:pPr>
            <w:r w:rsidRPr="004E6794">
              <w:rPr>
                <w:rFonts w:ascii="Lato" w:hAnsi="Lato"/>
                <w:b/>
                <w:bCs/>
              </w:rPr>
              <w:t>2</w:t>
            </w:r>
          </w:p>
        </w:tc>
        <w:tc>
          <w:tcPr>
            <w:tcW w:w="9617" w:type="dxa"/>
            <w:tcBorders>
              <w:top w:val="single" w:sz="4" w:space="0" w:color="auto"/>
              <w:left w:val="single" w:sz="4" w:space="0" w:color="auto"/>
              <w:bottom w:val="single" w:sz="4" w:space="0" w:color="auto"/>
              <w:right w:val="single" w:sz="4" w:space="0" w:color="auto"/>
            </w:tcBorders>
          </w:tcPr>
          <w:p w14:paraId="76DA89DB" w14:textId="77777777" w:rsidR="00511B3E" w:rsidRPr="004E6794" w:rsidRDefault="00511B3E" w:rsidP="00DA1668">
            <w:pPr>
              <w:pStyle w:val="Header"/>
              <w:spacing w:line="240" w:lineRule="auto"/>
              <w:jc w:val="both"/>
              <w:rPr>
                <w:rFonts w:ascii="Lato" w:hAnsi="Lato"/>
                <w:b/>
              </w:rPr>
            </w:pPr>
            <w:r w:rsidRPr="004E6794">
              <w:rPr>
                <w:rFonts w:ascii="Lato" w:hAnsi="Lato"/>
                <w:b/>
              </w:rPr>
              <w:t>Investment Restrictions</w:t>
            </w:r>
          </w:p>
        </w:tc>
      </w:tr>
      <w:tr w:rsidR="00511B3E" w:rsidRPr="00226335" w14:paraId="586FA095" w14:textId="77777777" w:rsidTr="007B13FE">
        <w:trPr>
          <w:gridAfter w:val="1"/>
          <w:wAfter w:w="11" w:type="dxa"/>
        </w:trPr>
        <w:tc>
          <w:tcPr>
            <w:tcW w:w="675" w:type="dxa"/>
            <w:tcBorders>
              <w:top w:val="single" w:sz="4" w:space="0" w:color="auto"/>
              <w:left w:val="single" w:sz="4" w:space="0" w:color="auto"/>
              <w:right w:val="single" w:sz="4" w:space="0" w:color="auto"/>
            </w:tcBorders>
          </w:tcPr>
          <w:p w14:paraId="625BA33E" w14:textId="3B75F3AB" w:rsidR="00511B3E" w:rsidRPr="004E6794" w:rsidRDefault="00511B3E" w:rsidP="00DA1668">
            <w:pPr>
              <w:spacing w:line="240" w:lineRule="auto"/>
              <w:jc w:val="both"/>
              <w:rPr>
                <w:rFonts w:ascii="Lato" w:hAnsi="Lato"/>
                <w:b/>
                <w:bCs/>
              </w:rPr>
            </w:pPr>
            <w:r w:rsidRPr="004E6794">
              <w:rPr>
                <w:rFonts w:ascii="Lato" w:hAnsi="Lato"/>
                <w:b/>
                <w:bCs/>
              </w:rPr>
              <w:t>2.</w:t>
            </w:r>
            <w:r w:rsidR="00A57C79">
              <w:rPr>
                <w:rFonts w:ascii="Lato" w:hAnsi="Lato"/>
                <w:b/>
                <w:bCs/>
              </w:rPr>
              <w:t>1</w:t>
            </w:r>
          </w:p>
        </w:tc>
        <w:tc>
          <w:tcPr>
            <w:tcW w:w="9617" w:type="dxa"/>
            <w:tcBorders>
              <w:top w:val="single" w:sz="4" w:space="0" w:color="auto"/>
              <w:left w:val="single" w:sz="4" w:space="0" w:color="auto"/>
              <w:right w:val="single" w:sz="4" w:space="0" w:color="auto"/>
            </w:tcBorders>
          </w:tcPr>
          <w:p w14:paraId="709268C6" w14:textId="77777777" w:rsidR="009B22B0" w:rsidRDefault="00511B3E" w:rsidP="00DA1668">
            <w:pPr>
              <w:pStyle w:val="Header"/>
              <w:spacing w:line="240" w:lineRule="auto"/>
              <w:jc w:val="both"/>
              <w:rPr>
                <w:rFonts w:ascii="Lato" w:hAnsi="Lato"/>
                <w:bCs/>
              </w:rPr>
            </w:pPr>
            <w:r w:rsidRPr="004E6794">
              <w:rPr>
                <w:rFonts w:ascii="Lato" w:hAnsi="Lato"/>
                <w:bCs/>
              </w:rPr>
              <w:t>A</w:t>
            </w:r>
            <w:r w:rsidR="009B22B0">
              <w:rPr>
                <w:rFonts w:ascii="Lato" w:hAnsi="Lato"/>
                <w:bCs/>
              </w:rPr>
              <w:t>n MMF shall invest no more than:</w:t>
            </w:r>
          </w:p>
          <w:p w14:paraId="3BCA594F" w14:textId="77777777" w:rsidR="009B22B0" w:rsidRDefault="00511B3E" w:rsidP="007B13FE">
            <w:pPr>
              <w:pStyle w:val="Header"/>
              <w:numPr>
                <w:ilvl w:val="0"/>
                <w:numId w:val="63"/>
              </w:numPr>
              <w:spacing w:line="240" w:lineRule="auto"/>
              <w:jc w:val="both"/>
              <w:rPr>
                <w:rFonts w:ascii="Lato" w:hAnsi="Lato"/>
                <w:bCs/>
              </w:rPr>
            </w:pPr>
            <w:r w:rsidRPr="004E6794">
              <w:rPr>
                <w:rFonts w:ascii="Lato" w:hAnsi="Lato"/>
                <w:bCs/>
              </w:rPr>
              <w:t xml:space="preserve"> </w:t>
            </w:r>
            <w:r w:rsidR="00674992">
              <w:rPr>
                <w:rFonts w:ascii="Lato" w:hAnsi="Lato"/>
                <w:bCs/>
              </w:rPr>
              <w:t>5</w:t>
            </w:r>
            <w:r w:rsidR="009B22B0" w:rsidRPr="009B22B0">
              <w:rPr>
                <w:rFonts w:ascii="Lato" w:hAnsi="Lato"/>
                <w:bCs/>
              </w:rPr>
              <w:t>% of its assets in money market instruments, securitisations and ABCPs issued by the same body;</w:t>
            </w:r>
          </w:p>
          <w:p w14:paraId="5CD0FC65" w14:textId="54D9F692" w:rsidR="00511B3E" w:rsidRPr="00862A00" w:rsidRDefault="00674992" w:rsidP="007B13FE">
            <w:pPr>
              <w:pStyle w:val="Header"/>
              <w:numPr>
                <w:ilvl w:val="0"/>
                <w:numId w:val="63"/>
              </w:numPr>
              <w:spacing w:line="240" w:lineRule="auto"/>
              <w:jc w:val="both"/>
              <w:rPr>
                <w:rFonts w:ascii="Lato" w:hAnsi="Lato"/>
                <w:bCs/>
              </w:rPr>
            </w:pPr>
            <w:r>
              <w:rPr>
                <w:rFonts w:ascii="Lato" w:hAnsi="Lato"/>
                <w:bCs/>
              </w:rPr>
              <w:t>10</w:t>
            </w:r>
            <w:r w:rsidR="009B22B0" w:rsidRPr="009B22B0">
              <w:rPr>
                <w:rFonts w:ascii="Lato" w:hAnsi="Lato"/>
                <w:bCs/>
              </w:rPr>
              <w:t>% of its assets in deposits made with the same credit institution, unless the structure of the banking sector in the Member State in which the MMF is domiciled is such that there are insufficient viable credit institutions to meet that diversification requirement and it is not economically feasible for the MMF to make deposits in another Memb</w:t>
            </w:r>
            <w:r>
              <w:rPr>
                <w:rFonts w:ascii="Lato" w:hAnsi="Lato"/>
                <w:bCs/>
              </w:rPr>
              <w:t>er State, in which case up to 15</w:t>
            </w:r>
            <w:r w:rsidR="009B22B0" w:rsidRPr="009B22B0">
              <w:rPr>
                <w:rFonts w:ascii="Lato" w:hAnsi="Lato"/>
                <w:bCs/>
              </w:rPr>
              <w:t>% of its assets may be deposited with the same credit institution.</w:t>
            </w:r>
            <w:r w:rsidR="009B22B0">
              <w:rPr>
                <w:rFonts w:ascii="Lato" w:hAnsi="Lato"/>
                <w:bCs/>
              </w:rPr>
              <w:t xml:space="preserve"> </w:t>
            </w:r>
          </w:p>
        </w:tc>
      </w:tr>
      <w:tr w:rsidR="00511B3E" w:rsidRPr="00226335" w14:paraId="3DCDB758" w14:textId="77777777" w:rsidTr="007B13FE">
        <w:trPr>
          <w:gridAfter w:val="1"/>
          <w:wAfter w:w="11" w:type="dxa"/>
        </w:trPr>
        <w:tc>
          <w:tcPr>
            <w:tcW w:w="675" w:type="dxa"/>
            <w:tcBorders>
              <w:left w:val="single" w:sz="4" w:space="0" w:color="auto"/>
              <w:right w:val="single" w:sz="4" w:space="0" w:color="auto"/>
            </w:tcBorders>
          </w:tcPr>
          <w:p w14:paraId="4D705190" w14:textId="77777777" w:rsidR="00511B3E" w:rsidRPr="004E6794" w:rsidRDefault="00511B3E" w:rsidP="00DA1668">
            <w:pPr>
              <w:spacing w:line="240" w:lineRule="auto"/>
              <w:jc w:val="both"/>
              <w:rPr>
                <w:rFonts w:ascii="Lato" w:hAnsi="Lato"/>
              </w:rPr>
            </w:pPr>
          </w:p>
        </w:tc>
        <w:tc>
          <w:tcPr>
            <w:tcW w:w="9617" w:type="dxa"/>
            <w:tcBorders>
              <w:left w:val="single" w:sz="4" w:space="0" w:color="auto"/>
              <w:right w:val="single" w:sz="4" w:space="0" w:color="auto"/>
            </w:tcBorders>
          </w:tcPr>
          <w:p w14:paraId="68F5EE8E" w14:textId="77777777" w:rsidR="00511B3E" w:rsidRPr="004E6794" w:rsidRDefault="00511B3E" w:rsidP="00DA1668">
            <w:pPr>
              <w:pStyle w:val="Header"/>
              <w:spacing w:line="240" w:lineRule="auto"/>
              <w:jc w:val="both"/>
              <w:rPr>
                <w:rFonts w:ascii="Lato" w:hAnsi="Lato"/>
                <w:b/>
              </w:rPr>
            </w:pPr>
          </w:p>
        </w:tc>
      </w:tr>
      <w:tr w:rsidR="00511B3E" w:rsidRPr="00226335" w14:paraId="1152CF1C" w14:textId="77777777" w:rsidTr="007B13FE">
        <w:trPr>
          <w:gridAfter w:val="1"/>
          <w:wAfter w:w="11" w:type="dxa"/>
        </w:trPr>
        <w:tc>
          <w:tcPr>
            <w:tcW w:w="675" w:type="dxa"/>
            <w:tcBorders>
              <w:left w:val="single" w:sz="4" w:space="0" w:color="auto"/>
              <w:right w:val="single" w:sz="4" w:space="0" w:color="auto"/>
            </w:tcBorders>
          </w:tcPr>
          <w:p w14:paraId="17FF8B2E" w14:textId="48D53055" w:rsidR="00511B3E" w:rsidRPr="004E6794" w:rsidRDefault="00511B3E">
            <w:pPr>
              <w:spacing w:line="240" w:lineRule="auto"/>
              <w:jc w:val="both"/>
              <w:rPr>
                <w:rFonts w:ascii="Lato" w:hAnsi="Lato"/>
                <w:b/>
                <w:bCs/>
              </w:rPr>
            </w:pPr>
            <w:r w:rsidRPr="00DC07D1">
              <w:rPr>
                <w:rFonts w:ascii="Lato" w:hAnsi="Lato"/>
                <w:b/>
                <w:bCs/>
              </w:rPr>
              <w:t>2.</w:t>
            </w:r>
            <w:r w:rsidR="00DC07D1">
              <w:rPr>
                <w:rFonts w:ascii="Lato" w:hAnsi="Lato"/>
                <w:b/>
                <w:bCs/>
              </w:rPr>
              <w:t>2</w:t>
            </w:r>
          </w:p>
        </w:tc>
        <w:tc>
          <w:tcPr>
            <w:tcW w:w="9617" w:type="dxa"/>
            <w:tcBorders>
              <w:left w:val="single" w:sz="4" w:space="0" w:color="auto"/>
              <w:right w:val="single" w:sz="4" w:space="0" w:color="auto"/>
            </w:tcBorders>
          </w:tcPr>
          <w:p w14:paraId="418B1FE1" w14:textId="65498DD8" w:rsidR="00511B3E" w:rsidRPr="007B13FE" w:rsidRDefault="00B53777" w:rsidP="00B53777">
            <w:pPr>
              <w:pStyle w:val="Header"/>
              <w:spacing w:line="240" w:lineRule="auto"/>
              <w:jc w:val="both"/>
              <w:rPr>
                <w:rFonts w:ascii="Lato" w:hAnsi="Lato"/>
              </w:rPr>
            </w:pPr>
            <w:r w:rsidRPr="00B53777">
              <w:rPr>
                <w:rFonts w:ascii="Lato" w:hAnsi="Lato"/>
              </w:rPr>
              <w:t xml:space="preserve">By way of derogation from point (a) of paragraph </w:t>
            </w:r>
            <w:r>
              <w:rPr>
                <w:rFonts w:ascii="Lato" w:hAnsi="Lato"/>
              </w:rPr>
              <w:t>2.</w:t>
            </w:r>
            <w:r w:rsidRPr="00B53777">
              <w:rPr>
                <w:rFonts w:ascii="Lato" w:hAnsi="Lato"/>
              </w:rPr>
              <w:t>1,</w:t>
            </w:r>
            <w:r w:rsidR="00B6076B">
              <w:rPr>
                <w:rFonts w:ascii="Lato" w:hAnsi="Lato"/>
              </w:rPr>
              <w:t xml:space="preserve"> a VNAV MMF may invest up to 10</w:t>
            </w:r>
            <w:r w:rsidRPr="00B53777">
              <w:rPr>
                <w:rFonts w:ascii="Lato" w:hAnsi="Lato"/>
              </w:rPr>
              <w:t xml:space="preserve">% of its assets in money market instruments, securitisations and ABCPs issued by the same body provided that the total value of such money market instruments, securitisations and ABCPs held by the VNAV MMF in each issuing body </w:t>
            </w:r>
            <w:r w:rsidR="00B6076B">
              <w:rPr>
                <w:rFonts w:ascii="Lato" w:hAnsi="Lato"/>
              </w:rPr>
              <w:t>in which it invests more than 5</w:t>
            </w:r>
            <w:r w:rsidRPr="00B53777">
              <w:rPr>
                <w:rFonts w:ascii="Lato" w:hAnsi="Lato"/>
              </w:rPr>
              <w:t>% of its assets does not exceed 40 % of the value of its assets</w:t>
            </w:r>
            <w:r>
              <w:rPr>
                <w:rFonts w:ascii="Lato" w:hAnsi="Lato"/>
              </w:rPr>
              <w:t>.</w:t>
            </w:r>
          </w:p>
        </w:tc>
      </w:tr>
      <w:tr w:rsidR="00511B3E" w:rsidRPr="00226335" w14:paraId="7F824D16" w14:textId="77777777" w:rsidTr="007B13FE">
        <w:trPr>
          <w:gridAfter w:val="1"/>
          <w:wAfter w:w="11" w:type="dxa"/>
        </w:trPr>
        <w:tc>
          <w:tcPr>
            <w:tcW w:w="675" w:type="dxa"/>
            <w:tcBorders>
              <w:left w:val="single" w:sz="4" w:space="0" w:color="auto"/>
              <w:right w:val="single" w:sz="4" w:space="0" w:color="auto"/>
            </w:tcBorders>
          </w:tcPr>
          <w:p w14:paraId="33050761"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2F8D7F9" w14:textId="77777777" w:rsidR="00511B3E" w:rsidRPr="004E6794" w:rsidRDefault="00511B3E" w:rsidP="00DA1668">
            <w:pPr>
              <w:pStyle w:val="Header"/>
              <w:spacing w:line="240" w:lineRule="auto"/>
              <w:jc w:val="both"/>
              <w:rPr>
                <w:rFonts w:ascii="Lato" w:hAnsi="Lato"/>
                <w:b/>
              </w:rPr>
            </w:pPr>
          </w:p>
        </w:tc>
      </w:tr>
      <w:tr w:rsidR="00511B3E" w:rsidRPr="00226335" w14:paraId="69A5BB0A" w14:textId="77777777" w:rsidTr="007B13FE">
        <w:trPr>
          <w:gridAfter w:val="1"/>
          <w:wAfter w:w="11" w:type="dxa"/>
        </w:trPr>
        <w:tc>
          <w:tcPr>
            <w:tcW w:w="675" w:type="dxa"/>
            <w:tcBorders>
              <w:left w:val="single" w:sz="4" w:space="0" w:color="auto"/>
              <w:right w:val="single" w:sz="4" w:space="0" w:color="auto"/>
            </w:tcBorders>
          </w:tcPr>
          <w:p w14:paraId="44D438D5" w14:textId="64398696" w:rsidR="00511B3E" w:rsidRPr="004E6794" w:rsidRDefault="00511B3E" w:rsidP="00DA1668">
            <w:pPr>
              <w:spacing w:line="240" w:lineRule="auto"/>
              <w:jc w:val="both"/>
              <w:rPr>
                <w:rFonts w:ascii="Lato" w:hAnsi="Lato"/>
                <w:b/>
                <w:bCs/>
              </w:rPr>
            </w:pPr>
            <w:r w:rsidRPr="004E6794">
              <w:rPr>
                <w:rFonts w:ascii="Lato" w:hAnsi="Lato"/>
                <w:b/>
                <w:bCs/>
              </w:rPr>
              <w:t>2.</w:t>
            </w:r>
            <w:r w:rsidR="00DC07D1">
              <w:rPr>
                <w:rFonts w:ascii="Lato" w:hAnsi="Lato"/>
                <w:b/>
                <w:bCs/>
              </w:rPr>
              <w:t>3</w:t>
            </w:r>
          </w:p>
        </w:tc>
        <w:tc>
          <w:tcPr>
            <w:tcW w:w="9617" w:type="dxa"/>
            <w:tcBorders>
              <w:left w:val="single" w:sz="4" w:space="0" w:color="auto"/>
              <w:right w:val="single" w:sz="4" w:space="0" w:color="auto"/>
            </w:tcBorders>
          </w:tcPr>
          <w:p w14:paraId="20F4C7E7" w14:textId="012AF598" w:rsidR="00511B3E" w:rsidRPr="00BB6A7F" w:rsidRDefault="006B7752" w:rsidP="006C2786">
            <w:pPr>
              <w:pStyle w:val="Header"/>
              <w:spacing w:line="240" w:lineRule="auto"/>
              <w:jc w:val="both"/>
              <w:rPr>
                <w:rFonts w:ascii="Lato" w:hAnsi="Lato"/>
                <w:b/>
                <w:i/>
              </w:rPr>
            </w:pPr>
            <w:r w:rsidRPr="00BB6A7F">
              <w:rPr>
                <w:rFonts w:ascii="Lato" w:hAnsi="Lato"/>
                <w:i/>
              </w:rPr>
              <w:t xml:space="preserve">The </w:t>
            </w:r>
            <w:r w:rsidR="003475E2" w:rsidRPr="00BB6A7F">
              <w:rPr>
                <w:rFonts w:ascii="Lato" w:hAnsi="Lato"/>
                <w:i/>
              </w:rPr>
              <w:t>aggregate</w:t>
            </w:r>
            <w:r w:rsidRPr="00BB6A7F">
              <w:rPr>
                <w:rFonts w:ascii="Lato" w:hAnsi="Lato"/>
                <w:i/>
              </w:rPr>
              <w:t xml:space="preserve"> of all of an MMF’s exposures to securitisations and ABCPs shall not exceed </w:t>
            </w:r>
            <w:r w:rsidR="00C601CA">
              <w:rPr>
                <w:rFonts w:ascii="Lato" w:hAnsi="Lato"/>
                <w:i/>
              </w:rPr>
              <w:t>[</w:t>
            </w:r>
            <w:r w:rsidRPr="00BB6A7F">
              <w:rPr>
                <w:rFonts w:ascii="Lato" w:hAnsi="Lato"/>
                <w:i/>
              </w:rPr>
              <w:t>15%</w:t>
            </w:r>
            <w:r w:rsidR="00C601CA">
              <w:rPr>
                <w:rFonts w:ascii="Lato" w:hAnsi="Lato"/>
                <w:i/>
              </w:rPr>
              <w:t>]</w:t>
            </w:r>
            <w:r w:rsidRPr="00BB6A7F">
              <w:rPr>
                <w:rFonts w:ascii="Lato" w:hAnsi="Lato"/>
                <w:i/>
              </w:rPr>
              <w:t xml:space="preserve"> of the assets of the MMF. </w:t>
            </w:r>
          </w:p>
        </w:tc>
      </w:tr>
      <w:tr w:rsidR="00511B3E" w:rsidRPr="00226335" w14:paraId="30C35481" w14:textId="77777777" w:rsidTr="007B13FE">
        <w:trPr>
          <w:gridAfter w:val="1"/>
          <w:wAfter w:w="11" w:type="dxa"/>
        </w:trPr>
        <w:tc>
          <w:tcPr>
            <w:tcW w:w="675" w:type="dxa"/>
            <w:tcBorders>
              <w:left w:val="single" w:sz="4" w:space="0" w:color="auto"/>
              <w:right w:val="single" w:sz="4" w:space="0" w:color="auto"/>
            </w:tcBorders>
          </w:tcPr>
          <w:p w14:paraId="16054B79"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42D1674" w14:textId="082F5998" w:rsidR="00511B3E" w:rsidRPr="00BB6A7F" w:rsidRDefault="00C601CA" w:rsidP="00DA1668">
            <w:pPr>
              <w:pStyle w:val="Header"/>
              <w:spacing w:line="240" w:lineRule="auto"/>
              <w:jc w:val="both"/>
              <w:rPr>
                <w:rFonts w:ascii="Lato" w:hAnsi="Lato"/>
                <w:i/>
              </w:rPr>
            </w:pPr>
            <w:r>
              <w:rPr>
                <w:rFonts w:ascii="Lato" w:hAnsi="Lato"/>
                <w:i/>
              </w:rPr>
              <w:t>[</w:t>
            </w:r>
            <w:r w:rsidR="0026418E" w:rsidRPr="00BB6A7F">
              <w:rPr>
                <w:rFonts w:ascii="Lato" w:hAnsi="Lato"/>
                <w:i/>
              </w:rPr>
              <w:t>As from the date of application of the delegated act referred to in Article 11(4), the aggregate of all of an MMF's exposures to securitisations and ABCPs shall no</w:t>
            </w:r>
            <w:r w:rsidR="00417477" w:rsidRPr="00BB6A7F">
              <w:rPr>
                <w:rFonts w:ascii="Lato" w:hAnsi="Lato"/>
                <w:i/>
              </w:rPr>
              <w:t>t exceed 20</w:t>
            </w:r>
            <w:r w:rsidR="0026418E" w:rsidRPr="00BB6A7F">
              <w:rPr>
                <w:rFonts w:ascii="Lato" w:hAnsi="Lato"/>
                <w:i/>
              </w:rPr>
              <w:t>% of the assets of the MMF, whereby up to 15 % of the assets of the MMF may be invested in securitisations and ABCPs that do not comply with the criteria for the identification of STS securitisations and ABCPs.</w:t>
            </w:r>
            <w:r>
              <w:rPr>
                <w:rFonts w:ascii="Lato" w:hAnsi="Lato"/>
                <w:i/>
              </w:rPr>
              <w:t>]</w:t>
            </w:r>
          </w:p>
        </w:tc>
      </w:tr>
      <w:tr w:rsidR="0026418E" w:rsidRPr="00226335" w14:paraId="427E2814" w14:textId="77777777" w:rsidTr="00862A00">
        <w:trPr>
          <w:gridAfter w:val="1"/>
          <w:wAfter w:w="11" w:type="dxa"/>
        </w:trPr>
        <w:tc>
          <w:tcPr>
            <w:tcW w:w="675" w:type="dxa"/>
            <w:tcBorders>
              <w:left w:val="single" w:sz="4" w:space="0" w:color="auto"/>
              <w:right w:val="single" w:sz="4" w:space="0" w:color="auto"/>
            </w:tcBorders>
          </w:tcPr>
          <w:p w14:paraId="28CDB1C7" w14:textId="77777777" w:rsidR="0026418E" w:rsidRPr="004E6794" w:rsidRDefault="0026418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629F3E2" w14:textId="77777777" w:rsidR="0026418E" w:rsidRPr="0026418E" w:rsidRDefault="0026418E" w:rsidP="00DA1668">
            <w:pPr>
              <w:pStyle w:val="Header"/>
              <w:spacing w:line="240" w:lineRule="auto"/>
              <w:jc w:val="both"/>
              <w:rPr>
                <w:rFonts w:ascii="Lato" w:hAnsi="Lato"/>
                <w:b/>
              </w:rPr>
            </w:pPr>
          </w:p>
        </w:tc>
      </w:tr>
      <w:tr w:rsidR="00511B3E" w:rsidRPr="00226335" w14:paraId="21AF7B55" w14:textId="77777777" w:rsidTr="007B13FE">
        <w:trPr>
          <w:gridAfter w:val="1"/>
          <w:wAfter w:w="11" w:type="dxa"/>
        </w:trPr>
        <w:tc>
          <w:tcPr>
            <w:tcW w:w="675" w:type="dxa"/>
            <w:tcBorders>
              <w:left w:val="single" w:sz="4" w:space="0" w:color="auto"/>
              <w:right w:val="single" w:sz="4" w:space="0" w:color="auto"/>
            </w:tcBorders>
          </w:tcPr>
          <w:p w14:paraId="508DB613" w14:textId="2CA9BDE8" w:rsidR="00511B3E" w:rsidRPr="004E6794" w:rsidRDefault="00511B3E" w:rsidP="00657008">
            <w:pPr>
              <w:spacing w:line="240" w:lineRule="auto"/>
              <w:jc w:val="both"/>
              <w:rPr>
                <w:rFonts w:ascii="Lato" w:hAnsi="Lato"/>
                <w:b/>
                <w:bCs/>
              </w:rPr>
            </w:pPr>
            <w:r w:rsidRPr="004E6794">
              <w:rPr>
                <w:rFonts w:ascii="Lato" w:hAnsi="Lato"/>
                <w:b/>
                <w:bCs/>
              </w:rPr>
              <w:t>2.</w:t>
            </w:r>
            <w:r w:rsidR="00D3658B">
              <w:rPr>
                <w:rFonts w:ascii="Lato" w:hAnsi="Lato"/>
                <w:b/>
                <w:bCs/>
              </w:rPr>
              <w:t>4</w:t>
            </w:r>
          </w:p>
        </w:tc>
        <w:tc>
          <w:tcPr>
            <w:tcW w:w="9617" w:type="dxa"/>
            <w:tcBorders>
              <w:left w:val="single" w:sz="4" w:space="0" w:color="auto"/>
              <w:right w:val="single" w:sz="4" w:space="0" w:color="auto"/>
            </w:tcBorders>
          </w:tcPr>
          <w:p w14:paraId="6B54723D" w14:textId="6A40B071" w:rsidR="00511B3E" w:rsidRPr="004E6794" w:rsidRDefault="00511B3E">
            <w:pPr>
              <w:pStyle w:val="Header"/>
              <w:spacing w:line="240" w:lineRule="auto"/>
              <w:jc w:val="both"/>
              <w:rPr>
                <w:rFonts w:ascii="Lato" w:hAnsi="Lato"/>
                <w:b/>
              </w:rPr>
            </w:pPr>
            <w:r w:rsidRPr="004E6794">
              <w:rPr>
                <w:rFonts w:ascii="Lato" w:hAnsi="Lato"/>
              </w:rPr>
              <w:t xml:space="preserve">The </w:t>
            </w:r>
            <w:r w:rsidR="00824857">
              <w:rPr>
                <w:rFonts w:ascii="Lato" w:hAnsi="Lato"/>
              </w:rPr>
              <w:t xml:space="preserve">aggregate </w:t>
            </w:r>
            <w:r w:rsidRPr="004E6794">
              <w:rPr>
                <w:rFonts w:ascii="Lato" w:hAnsi="Lato"/>
              </w:rPr>
              <w:t>risk exposure of a</w:t>
            </w:r>
            <w:r w:rsidR="00824857">
              <w:rPr>
                <w:rFonts w:ascii="Lato" w:hAnsi="Lato"/>
              </w:rPr>
              <w:t>n MMF</w:t>
            </w:r>
            <w:r w:rsidR="00207FEF">
              <w:rPr>
                <w:rFonts w:ascii="Lato" w:hAnsi="Lato"/>
              </w:rPr>
              <w:t xml:space="preserve"> </w:t>
            </w:r>
            <w:r w:rsidRPr="004E6794">
              <w:rPr>
                <w:rFonts w:ascii="Lato" w:hAnsi="Lato"/>
              </w:rPr>
              <w:t xml:space="preserve">to </w:t>
            </w:r>
            <w:r w:rsidR="00824857">
              <w:rPr>
                <w:rFonts w:ascii="Lato" w:hAnsi="Lato"/>
              </w:rPr>
              <w:t>the same</w:t>
            </w:r>
            <w:r w:rsidRPr="004E6794">
              <w:rPr>
                <w:rFonts w:ascii="Lato" w:hAnsi="Lato"/>
              </w:rPr>
              <w:t xml:space="preserve"> counterparty to OTC derivative</w:t>
            </w:r>
            <w:r w:rsidR="00824857">
              <w:rPr>
                <w:rFonts w:ascii="Lato" w:hAnsi="Lato"/>
              </w:rPr>
              <w:t xml:space="preserve"> transactions</w:t>
            </w:r>
            <w:r w:rsidR="008515AD">
              <w:rPr>
                <w:rFonts w:ascii="Lato" w:hAnsi="Lato"/>
              </w:rPr>
              <w:t xml:space="preserve"> which fulfil the conditions set out in Article 13 of the MMFR</w:t>
            </w:r>
            <w:r w:rsidR="00824857">
              <w:rPr>
                <w:rFonts w:ascii="Lato" w:hAnsi="Lato"/>
              </w:rPr>
              <w:t xml:space="preserve"> </w:t>
            </w:r>
            <w:r w:rsidR="0019265C">
              <w:rPr>
                <w:rFonts w:ascii="Lato" w:hAnsi="Lato"/>
              </w:rPr>
              <w:t>shall</w:t>
            </w:r>
            <w:r w:rsidRPr="004E6794">
              <w:rPr>
                <w:rFonts w:ascii="Lato" w:hAnsi="Lato"/>
              </w:rPr>
              <w:t xml:space="preserve"> not exceed 5% of </w:t>
            </w:r>
            <w:r w:rsidR="0019265C">
              <w:rPr>
                <w:rFonts w:ascii="Lato" w:hAnsi="Lato"/>
              </w:rPr>
              <w:t>the</w:t>
            </w:r>
            <w:r w:rsidRPr="004E6794">
              <w:rPr>
                <w:rFonts w:ascii="Lato" w:hAnsi="Lato"/>
              </w:rPr>
              <w:t xml:space="preserve"> assets</w:t>
            </w:r>
            <w:r w:rsidR="0019265C">
              <w:rPr>
                <w:rFonts w:ascii="Lato" w:hAnsi="Lato"/>
              </w:rPr>
              <w:t xml:space="preserve"> of the MMF</w:t>
            </w:r>
            <w:r w:rsidRPr="004E6794">
              <w:rPr>
                <w:rFonts w:ascii="Lato" w:hAnsi="Lato"/>
              </w:rPr>
              <w:t xml:space="preserve">. </w:t>
            </w:r>
          </w:p>
        </w:tc>
      </w:tr>
      <w:tr w:rsidR="00A2447E" w:rsidRPr="00226335" w14:paraId="010981CF" w14:textId="77777777" w:rsidTr="00862A00">
        <w:trPr>
          <w:gridAfter w:val="1"/>
          <w:wAfter w:w="11" w:type="dxa"/>
        </w:trPr>
        <w:tc>
          <w:tcPr>
            <w:tcW w:w="675" w:type="dxa"/>
            <w:tcBorders>
              <w:left w:val="single" w:sz="4" w:space="0" w:color="auto"/>
              <w:right w:val="single" w:sz="4" w:space="0" w:color="auto"/>
            </w:tcBorders>
          </w:tcPr>
          <w:p w14:paraId="641B3861" w14:textId="77777777" w:rsidR="00A2447E" w:rsidRPr="004E6794" w:rsidRDefault="00A2447E" w:rsidP="00657008">
            <w:pPr>
              <w:spacing w:line="240" w:lineRule="auto"/>
              <w:jc w:val="both"/>
              <w:rPr>
                <w:rFonts w:ascii="Lato" w:hAnsi="Lato"/>
                <w:b/>
                <w:bCs/>
              </w:rPr>
            </w:pPr>
          </w:p>
        </w:tc>
        <w:tc>
          <w:tcPr>
            <w:tcW w:w="9617" w:type="dxa"/>
            <w:tcBorders>
              <w:left w:val="single" w:sz="4" w:space="0" w:color="auto"/>
              <w:right w:val="single" w:sz="4" w:space="0" w:color="auto"/>
            </w:tcBorders>
          </w:tcPr>
          <w:p w14:paraId="034ECC8A" w14:textId="77777777" w:rsidR="00A2447E" w:rsidRPr="004E6794" w:rsidRDefault="00A2447E" w:rsidP="00DA1668">
            <w:pPr>
              <w:pStyle w:val="Header"/>
              <w:spacing w:line="240" w:lineRule="auto"/>
              <w:jc w:val="both"/>
              <w:rPr>
                <w:rFonts w:ascii="Lato" w:hAnsi="Lato"/>
              </w:rPr>
            </w:pPr>
          </w:p>
        </w:tc>
      </w:tr>
      <w:tr w:rsidR="00E21B54" w:rsidRPr="00226335" w14:paraId="44C8F940" w14:textId="77777777" w:rsidTr="00862A00">
        <w:trPr>
          <w:gridAfter w:val="1"/>
          <w:wAfter w:w="11" w:type="dxa"/>
        </w:trPr>
        <w:tc>
          <w:tcPr>
            <w:tcW w:w="675" w:type="dxa"/>
            <w:tcBorders>
              <w:left w:val="single" w:sz="4" w:space="0" w:color="auto"/>
              <w:right w:val="single" w:sz="4" w:space="0" w:color="auto"/>
            </w:tcBorders>
          </w:tcPr>
          <w:p w14:paraId="0B05556D" w14:textId="370A7C2C" w:rsidR="00E21B54" w:rsidRPr="004E6794" w:rsidRDefault="00E21B54">
            <w:pPr>
              <w:spacing w:line="240" w:lineRule="auto"/>
              <w:jc w:val="both"/>
              <w:rPr>
                <w:rFonts w:ascii="Lato" w:hAnsi="Lato"/>
                <w:b/>
                <w:bCs/>
              </w:rPr>
            </w:pPr>
            <w:r>
              <w:rPr>
                <w:rFonts w:ascii="Lato" w:hAnsi="Lato"/>
                <w:b/>
                <w:bCs/>
              </w:rPr>
              <w:t>2.</w:t>
            </w:r>
            <w:r w:rsidR="00D3658B">
              <w:rPr>
                <w:rFonts w:ascii="Lato" w:hAnsi="Lato"/>
                <w:b/>
                <w:bCs/>
              </w:rPr>
              <w:t>5</w:t>
            </w:r>
          </w:p>
        </w:tc>
        <w:tc>
          <w:tcPr>
            <w:tcW w:w="9617" w:type="dxa"/>
            <w:tcBorders>
              <w:left w:val="single" w:sz="4" w:space="0" w:color="auto"/>
              <w:right w:val="single" w:sz="4" w:space="0" w:color="auto"/>
            </w:tcBorders>
          </w:tcPr>
          <w:p w14:paraId="5494AA9A" w14:textId="0933F732" w:rsidR="00E21B54" w:rsidRDefault="00E21B54" w:rsidP="00DA1668">
            <w:pPr>
              <w:pStyle w:val="Header"/>
              <w:spacing w:line="240" w:lineRule="auto"/>
              <w:jc w:val="both"/>
              <w:rPr>
                <w:rFonts w:ascii="Lato" w:hAnsi="Lato"/>
              </w:rPr>
            </w:pPr>
            <w:r>
              <w:rPr>
                <w:rFonts w:ascii="Lato" w:hAnsi="Lato"/>
              </w:rPr>
              <w:t>T</w:t>
            </w:r>
            <w:r w:rsidRPr="00E21B54">
              <w:rPr>
                <w:rFonts w:ascii="Lato" w:hAnsi="Lato"/>
              </w:rPr>
              <w:t>he cash received by the MMF as part of the repurchase agreement doe</w:t>
            </w:r>
            <w:r w:rsidR="00417477">
              <w:rPr>
                <w:rFonts w:ascii="Lato" w:hAnsi="Lato"/>
              </w:rPr>
              <w:t>s not exceed 10</w:t>
            </w:r>
            <w:r>
              <w:rPr>
                <w:rFonts w:ascii="Lato" w:hAnsi="Lato"/>
              </w:rPr>
              <w:t>% of its assets.</w:t>
            </w:r>
          </w:p>
          <w:p w14:paraId="66AAE2BA" w14:textId="554BB612" w:rsidR="00417477" w:rsidRPr="004E6794" w:rsidRDefault="00417477" w:rsidP="00DA1668">
            <w:pPr>
              <w:pStyle w:val="Header"/>
              <w:spacing w:line="240" w:lineRule="auto"/>
              <w:jc w:val="both"/>
              <w:rPr>
                <w:rFonts w:ascii="Lato" w:hAnsi="Lato"/>
              </w:rPr>
            </w:pPr>
          </w:p>
        </w:tc>
      </w:tr>
      <w:tr w:rsidR="00511B3E" w:rsidRPr="00226335" w14:paraId="593659D4" w14:textId="77777777" w:rsidTr="007B13FE">
        <w:trPr>
          <w:gridAfter w:val="1"/>
          <w:wAfter w:w="11" w:type="dxa"/>
        </w:trPr>
        <w:tc>
          <w:tcPr>
            <w:tcW w:w="675" w:type="dxa"/>
            <w:tcBorders>
              <w:left w:val="single" w:sz="4" w:space="0" w:color="auto"/>
              <w:right w:val="single" w:sz="4" w:space="0" w:color="auto"/>
            </w:tcBorders>
          </w:tcPr>
          <w:p w14:paraId="64C5941A" w14:textId="3E5C1DE9" w:rsidR="00511B3E" w:rsidRPr="004E6794" w:rsidRDefault="00CE2B56">
            <w:pPr>
              <w:spacing w:line="240" w:lineRule="auto"/>
              <w:jc w:val="both"/>
              <w:rPr>
                <w:rFonts w:ascii="Lato" w:hAnsi="Lato"/>
                <w:b/>
                <w:bCs/>
              </w:rPr>
            </w:pPr>
            <w:r>
              <w:rPr>
                <w:rFonts w:ascii="Lato" w:hAnsi="Lato"/>
                <w:b/>
                <w:bCs/>
              </w:rPr>
              <w:t>2.</w:t>
            </w:r>
            <w:r w:rsidR="00D3658B">
              <w:rPr>
                <w:rFonts w:ascii="Lato" w:hAnsi="Lato"/>
                <w:b/>
                <w:bCs/>
              </w:rPr>
              <w:t>6</w:t>
            </w:r>
          </w:p>
        </w:tc>
        <w:tc>
          <w:tcPr>
            <w:tcW w:w="9617" w:type="dxa"/>
            <w:tcBorders>
              <w:left w:val="single" w:sz="4" w:space="0" w:color="auto"/>
              <w:right w:val="single" w:sz="4" w:space="0" w:color="auto"/>
            </w:tcBorders>
          </w:tcPr>
          <w:p w14:paraId="0ACF993C" w14:textId="77777777" w:rsidR="00511B3E" w:rsidRPr="004E6794" w:rsidRDefault="00A2447E" w:rsidP="00DA1668">
            <w:pPr>
              <w:pStyle w:val="Header"/>
              <w:spacing w:line="240" w:lineRule="auto"/>
              <w:jc w:val="both"/>
              <w:rPr>
                <w:rFonts w:ascii="Lato" w:hAnsi="Lato"/>
                <w:b/>
              </w:rPr>
            </w:pPr>
            <w:r w:rsidRPr="00552438">
              <w:rPr>
                <w:rFonts w:ascii="Lato" w:hAnsi="Lato"/>
              </w:rPr>
              <w:t>The aggregate amount of cash provided to the same counterparty of an MMF in reverse repurchase</w:t>
            </w:r>
            <w:r w:rsidR="004418F4">
              <w:rPr>
                <w:rFonts w:ascii="Lato" w:hAnsi="Lato"/>
              </w:rPr>
              <w:t xml:space="preserve"> agreements shall not exceed 15</w:t>
            </w:r>
            <w:r w:rsidRPr="00552438">
              <w:rPr>
                <w:rFonts w:ascii="Lato" w:hAnsi="Lato"/>
              </w:rPr>
              <w:t>% of the assets of the MMF.</w:t>
            </w:r>
          </w:p>
        </w:tc>
      </w:tr>
      <w:tr w:rsidR="00A2447E" w:rsidRPr="00226335" w14:paraId="0BA30FE5" w14:textId="77777777" w:rsidTr="00862A00">
        <w:trPr>
          <w:gridAfter w:val="1"/>
          <w:wAfter w:w="11" w:type="dxa"/>
        </w:trPr>
        <w:tc>
          <w:tcPr>
            <w:tcW w:w="675" w:type="dxa"/>
            <w:tcBorders>
              <w:left w:val="single" w:sz="4" w:space="0" w:color="auto"/>
              <w:right w:val="single" w:sz="4" w:space="0" w:color="auto"/>
            </w:tcBorders>
          </w:tcPr>
          <w:p w14:paraId="1520FB5A" w14:textId="77777777" w:rsidR="00A2447E" w:rsidRPr="004E6794" w:rsidRDefault="00A2447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2D575D4D" w14:textId="77777777" w:rsidR="00A2447E" w:rsidRPr="00552438" w:rsidRDefault="00A2447E" w:rsidP="00DA1668">
            <w:pPr>
              <w:pStyle w:val="Header"/>
              <w:spacing w:line="240" w:lineRule="auto"/>
              <w:jc w:val="both"/>
              <w:rPr>
                <w:rFonts w:ascii="Lato" w:hAnsi="Lato"/>
              </w:rPr>
            </w:pPr>
          </w:p>
        </w:tc>
      </w:tr>
      <w:tr w:rsidR="00511B3E" w:rsidRPr="00226335" w14:paraId="55F1ACF0" w14:textId="77777777" w:rsidTr="007B13FE">
        <w:trPr>
          <w:gridAfter w:val="1"/>
          <w:wAfter w:w="11" w:type="dxa"/>
        </w:trPr>
        <w:tc>
          <w:tcPr>
            <w:tcW w:w="675" w:type="dxa"/>
            <w:tcBorders>
              <w:left w:val="single" w:sz="4" w:space="0" w:color="auto"/>
              <w:right w:val="single" w:sz="4" w:space="0" w:color="auto"/>
            </w:tcBorders>
          </w:tcPr>
          <w:p w14:paraId="09A56B28" w14:textId="4EBDC03B" w:rsidR="00511B3E" w:rsidRPr="004E6794" w:rsidRDefault="00511B3E">
            <w:pPr>
              <w:spacing w:line="240" w:lineRule="auto"/>
              <w:jc w:val="both"/>
              <w:rPr>
                <w:rFonts w:ascii="Lato" w:hAnsi="Lato"/>
                <w:b/>
                <w:bCs/>
              </w:rPr>
            </w:pPr>
            <w:r w:rsidRPr="004E6794">
              <w:rPr>
                <w:rFonts w:ascii="Lato" w:hAnsi="Lato"/>
                <w:b/>
                <w:bCs/>
              </w:rPr>
              <w:lastRenderedPageBreak/>
              <w:t>2.</w:t>
            </w:r>
            <w:r w:rsidR="00D3658B">
              <w:rPr>
                <w:rFonts w:ascii="Lato" w:hAnsi="Lato"/>
                <w:b/>
                <w:bCs/>
              </w:rPr>
              <w:t>7</w:t>
            </w:r>
          </w:p>
        </w:tc>
        <w:tc>
          <w:tcPr>
            <w:tcW w:w="9617" w:type="dxa"/>
            <w:tcBorders>
              <w:left w:val="single" w:sz="4" w:space="0" w:color="auto"/>
              <w:right w:val="single" w:sz="4" w:space="0" w:color="auto"/>
            </w:tcBorders>
          </w:tcPr>
          <w:p w14:paraId="2A0CA264" w14:textId="5EFBC584" w:rsidR="00511B3E" w:rsidRPr="004E6794" w:rsidRDefault="00511B3E" w:rsidP="00DA1668">
            <w:pPr>
              <w:pStyle w:val="BodyText"/>
              <w:jc w:val="both"/>
              <w:rPr>
                <w:rFonts w:ascii="Lato" w:hAnsi="Lato"/>
              </w:rPr>
            </w:pPr>
            <w:r w:rsidRPr="004E6794">
              <w:rPr>
                <w:rFonts w:ascii="Lato" w:hAnsi="Lato"/>
              </w:rPr>
              <w:t>Notwithstanding paragraphs 2.</w:t>
            </w:r>
            <w:r w:rsidR="006A6392">
              <w:rPr>
                <w:rFonts w:ascii="Lato" w:hAnsi="Lato"/>
              </w:rPr>
              <w:t>1</w:t>
            </w:r>
            <w:r w:rsidRPr="004E6794">
              <w:rPr>
                <w:rFonts w:ascii="Lato" w:hAnsi="Lato"/>
              </w:rPr>
              <w:t xml:space="preserve"> and 2.</w:t>
            </w:r>
            <w:r w:rsidR="006A6392">
              <w:rPr>
                <w:rFonts w:ascii="Lato" w:hAnsi="Lato"/>
              </w:rPr>
              <w:t>4</w:t>
            </w:r>
            <w:r w:rsidRPr="004E6794">
              <w:rPr>
                <w:rFonts w:ascii="Lato" w:hAnsi="Lato"/>
              </w:rPr>
              <w:t xml:space="preserve"> above, </w:t>
            </w:r>
            <w:r w:rsidR="0008367A">
              <w:rPr>
                <w:rFonts w:ascii="Lato" w:hAnsi="Lato"/>
              </w:rPr>
              <w:t xml:space="preserve">an MMF shall not combine, where to do so would result in an investment of more than 15% of its assets in a single body, any of the following: </w:t>
            </w:r>
          </w:p>
          <w:p w14:paraId="41BEAD65" w14:textId="7BD55076" w:rsidR="00511B3E" w:rsidRPr="004E6794" w:rsidRDefault="00511B3E" w:rsidP="000F3B66">
            <w:pPr>
              <w:pStyle w:val="BodyText"/>
              <w:numPr>
                <w:ilvl w:val="0"/>
                <w:numId w:val="10"/>
              </w:numPr>
              <w:jc w:val="both"/>
              <w:rPr>
                <w:rFonts w:ascii="Lato" w:hAnsi="Lato"/>
              </w:rPr>
            </w:pPr>
            <w:r w:rsidRPr="004E6794">
              <w:rPr>
                <w:rFonts w:ascii="Lato" w:hAnsi="Lato"/>
              </w:rPr>
              <w:t>investments in money market instruments</w:t>
            </w:r>
            <w:r w:rsidR="00552438">
              <w:rPr>
                <w:rFonts w:ascii="Lato" w:hAnsi="Lato"/>
              </w:rPr>
              <w:t>, securitisations and ABCPs</w:t>
            </w:r>
            <w:r w:rsidR="003E023C">
              <w:rPr>
                <w:rFonts w:ascii="Lato" w:hAnsi="Lato"/>
              </w:rPr>
              <w:t xml:space="preserve"> issued by that body</w:t>
            </w:r>
            <w:r w:rsidRPr="004E6794">
              <w:rPr>
                <w:rFonts w:ascii="Lato" w:hAnsi="Lato"/>
              </w:rPr>
              <w:t>;</w:t>
            </w:r>
          </w:p>
          <w:p w14:paraId="4B0ED814" w14:textId="417CB435" w:rsidR="00511B3E" w:rsidRPr="004E6794" w:rsidRDefault="00511B3E" w:rsidP="00DA1668">
            <w:pPr>
              <w:numPr>
                <w:ilvl w:val="0"/>
                <w:numId w:val="10"/>
              </w:numPr>
              <w:spacing w:line="240" w:lineRule="auto"/>
              <w:jc w:val="both"/>
              <w:rPr>
                <w:rFonts w:ascii="Lato" w:hAnsi="Lato"/>
              </w:rPr>
            </w:pPr>
            <w:r w:rsidRPr="004E6794">
              <w:rPr>
                <w:rFonts w:ascii="Lato" w:hAnsi="Lato"/>
              </w:rPr>
              <w:t>deposits</w:t>
            </w:r>
            <w:r w:rsidR="003E023C">
              <w:rPr>
                <w:rFonts w:ascii="Lato" w:hAnsi="Lato"/>
              </w:rPr>
              <w:t xml:space="preserve"> made with that body;</w:t>
            </w:r>
          </w:p>
          <w:p w14:paraId="13844FAF" w14:textId="4C68A19A" w:rsidR="00511B3E" w:rsidRPr="004E6794" w:rsidRDefault="00511B3E" w:rsidP="00DA1668">
            <w:pPr>
              <w:pStyle w:val="Header"/>
              <w:numPr>
                <w:ilvl w:val="0"/>
                <w:numId w:val="10"/>
              </w:numPr>
              <w:spacing w:line="240" w:lineRule="auto"/>
              <w:jc w:val="both"/>
              <w:rPr>
                <w:rFonts w:ascii="Lato" w:hAnsi="Lato"/>
                <w:b/>
              </w:rPr>
            </w:pPr>
            <w:r w:rsidRPr="004E6794">
              <w:rPr>
                <w:rFonts w:ascii="Lato" w:hAnsi="Lato"/>
              </w:rPr>
              <w:t xml:space="preserve">OTC </w:t>
            </w:r>
            <w:r w:rsidR="003E023C">
              <w:rPr>
                <w:rFonts w:ascii="Lato" w:hAnsi="Lato"/>
              </w:rPr>
              <w:t>financial derivative instruments giving counterparty risk exposure to that body</w:t>
            </w:r>
            <w:r w:rsidRPr="004E6794">
              <w:rPr>
                <w:rFonts w:ascii="Lato" w:hAnsi="Lato"/>
              </w:rPr>
              <w:t>.</w:t>
            </w:r>
          </w:p>
        </w:tc>
      </w:tr>
      <w:tr w:rsidR="00511B3E" w:rsidRPr="00226335" w14:paraId="06EC66BC" w14:textId="77777777" w:rsidTr="007B13FE">
        <w:trPr>
          <w:gridAfter w:val="1"/>
          <w:wAfter w:w="11" w:type="dxa"/>
        </w:trPr>
        <w:tc>
          <w:tcPr>
            <w:tcW w:w="675" w:type="dxa"/>
            <w:tcBorders>
              <w:left w:val="single" w:sz="4" w:space="0" w:color="auto"/>
              <w:right w:val="single" w:sz="4" w:space="0" w:color="auto"/>
            </w:tcBorders>
          </w:tcPr>
          <w:p w14:paraId="33844E27"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75B6F546" w14:textId="77777777" w:rsidR="00511B3E" w:rsidRPr="004E6794" w:rsidRDefault="00511B3E" w:rsidP="00DA1668">
            <w:pPr>
              <w:pStyle w:val="Header"/>
              <w:spacing w:line="240" w:lineRule="auto"/>
              <w:jc w:val="both"/>
              <w:rPr>
                <w:rFonts w:ascii="Lato" w:hAnsi="Lato"/>
                <w:b/>
              </w:rPr>
            </w:pPr>
          </w:p>
        </w:tc>
      </w:tr>
      <w:tr w:rsidR="00511B3E" w:rsidRPr="00226335" w14:paraId="17285416" w14:textId="77777777" w:rsidTr="007B13FE">
        <w:trPr>
          <w:gridAfter w:val="1"/>
          <w:wAfter w:w="11" w:type="dxa"/>
        </w:trPr>
        <w:tc>
          <w:tcPr>
            <w:tcW w:w="675" w:type="dxa"/>
            <w:tcBorders>
              <w:left w:val="single" w:sz="4" w:space="0" w:color="auto"/>
              <w:right w:val="single" w:sz="4" w:space="0" w:color="auto"/>
            </w:tcBorders>
          </w:tcPr>
          <w:p w14:paraId="362DE7C7" w14:textId="28CB2E4C" w:rsidR="00511B3E" w:rsidRPr="004E6794" w:rsidRDefault="00511B3E">
            <w:pPr>
              <w:spacing w:line="240" w:lineRule="auto"/>
              <w:jc w:val="both"/>
              <w:rPr>
                <w:rFonts w:ascii="Lato" w:hAnsi="Lato"/>
                <w:b/>
                <w:bCs/>
              </w:rPr>
            </w:pPr>
            <w:r w:rsidRPr="004E6794">
              <w:rPr>
                <w:rFonts w:ascii="Lato" w:hAnsi="Lato"/>
                <w:b/>
                <w:bCs/>
              </w:rPr>
              <w:t>2.</w:t>
            </w:r>
            <w:r w:rsidR="00D3658B">
              <w:rPr>
                <w:rFonts w:ascii="Lato" w:hAnsi="Lato"/>
                <w:b/>
                <w:bCs/>
              </w:rPr>
              <w:t>8</w:t>
            </w:r>
          </w:p>
        </w:tc>
        <w:tc>
          <w:tcPr>
            <w:tcW w:w="9617" w:type="dxa"/>
            <w:tcBorders>
              <w:left w:val="single" w:sz="4" w:space="0" w:color="auto"/>
              <w:right w:val="single" w:sz="4" w:space="0" w:color="auto"/>
            </w:tcBorders>
          </w:tcPr>
          <w:p w14:paraId="1A21A0F3" w14:textId="1629F8FD" w:rsidR="00511B3E" w:rsidRPr="004E6794" w:rsidRDefault="000F3B66">
            <w:pPr>
              <w:pStyle w:val="Header"/>
              <w:spacing w:line="240" w:lineRule="auto"/>
              <w:jc w:val="both"/>
              <w:rPr>
                <w:rFonts w:ascii="Lato" w:hAnsi="Lato"/>
              </w:rPr>
            </w:pPr>
            <w:r w:rsidRPr="000F3B66">
              <w:rPr>
                <w:rFonts w:ascii="Lato" w:hAnsi="Lato"/>
              </w:rPr>
              <w:t xml:space="preserve">By way of derogation from the diversification requirement provided for in </w:t>
            </w:r>
            <w:r w:rsidR="00520706">
              <w:rPr>
                <w:rFonts w:ascii="Lato" w:hAnsi="Lato"/>
              </w:rPr>
              <w:t>paragraph 2.</w:t>
            </w:r>
            <w:r w:rsidR="00C826A3">
              <w:rPr>
                <w:rFonts w:ascii="Lato" w:hAnsi="Lato"/>
              </w:rPr>
              <w:t>7</w:t>
            </w:r>
            <w:r w:rsidRPr="000F3B66">
              <w:rPr>
                <w:rFonts w:ascii="Lato" w:hAnsi="Lato"/>
              </w:rPr>
              <w:t>, where the structure of the financial market in the Member State in which the MMF is domiciled is such that there are insufficient viable financial institutions to meet that diversification requirement and it is not economically feasible for the MMF to use financial institutions in another Member State, the MMF may combine the types of investments referred to in points (a) to (c) u</w:t>
            </w:r>
            <w:r w:rsidR="00C826A3">
              <w:rPr>
                <w:rFonts w:ascii="Lato" w:hAnsi="Lato"/>
              </w:rPr>
              <w:t>p to a maximum investment of 20</w:t>
            </w:r>
            <w:r w:rsidRPr="000F3B66">
              <w:rPr>
                <w:rFonts w:ascii="Lato" w:hAnsi="Lato"/>
              </w:rPr>
              <w:t>% of its assets in a single body.</w:t>
            </w:r>
          </w:p>
        </w:tc>
      </w:tr>
      <w:tr w:rsidR="00511B3E" w:rsidRPr="00226335" w14:paraId="031D94CD" w14:textId="77777777" w:rsidTr="007B13FE">
        <w:trPr>
          <w:gridAfter w:val="1"/>
          <w:wAfter w:w="11" w:type="dxa"/>
        </w:trPr>
        <w:tc>
          <w:tcPr>
            <w:tcW w:w="675" w:type="dxa"/>
            <w:tcBorders>
              <w:left w:val="single" w:sz="4" w:space="0" w:color="auto"/>
              <w:right w:val="single" w:sz="4" w:space="0" w:color="auto"/>
            </w:tcBorders>
          </w:tcPr>
          <w:p w14:paraId="012E8040"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FFAC9D3" w14:textId="77777777" w:rsidR="00511B3E" w:rsidRPr="004E6794" w:rsidRDefault="00511B3E" w:rsidP="00DA1668">
            <w:pPr>
              <w:pStyle w:val="Header"/>
              <w:spacing w:line="240" w:lineRule="auto"/>
              <w:jc w:val="both"/>
              <w:rPr>
                <w:rFonts w:ascii="Lato" w:hAnsi="Lato"/>
                <w:b/>
              </w:rPr>
            </w:pPr>
          </w:p>
        </w:tc>
      </w:tr>
      <w:tr w:rsidR="00511B3E" w:rsidRPr="00226335" w14:paraId="1EB6584A" w14:textId="77777777" w:rsidTr="007B13FE">
        <w:trPr>
          <w:gridAfter w:val="1"/>
          <w:wAfter w:w="11" w:type="dxa"/>
        </w:trPr>
        <w:tc>
          <w:tcPr>
            <w:tcW w:w="675" w:type="dxa"/>
            <w:tcBorders>
              <w:left w:val="single" w:sz="4" w:space="0" w:color="auto"/>
              <w:right w:val="single" w:sz="4" w:space="0" w:color="auto"/>
            </w:tcBorders>
          </w:tcPr>
          <w:p w14:paraId="20E21FC4" w14:textId="6AB5EA30" w:rsidR="00511B3E" w:rsidRPr="004E6794" w:rsidRDefault="00511B3E">
            <w:pPr>
              <w:spacing w:line="240" w:lineRule="auto"/>
              <w:jc w:val="both"/>
              <w:rPr>
                <w:rFonts w:ascii="Lato" w:hAnsi="Lato"/>
                <w:b/>
                <w:bCs/>
              </w:rPr>
            </w:pPr>
            <w:r w:rsidRPr="004E6794">
              <w:rPr>
                <w:rFonts w:ascii="Lato" w:hAnsi="Lato"/>
                <w:b/>
                <w:bCs/>
              </w:rPr>
              <w:t>2.</w:t>
            </w:r>
            <w:r w:rsidR="00D3658B">
              <w:rPr>
                <w:rFonts w:ascii="Lato" w:hAnsi="Lato"/>
                <w:b/>
                <w:bCs/>
              </w:rPr>
              <w:t>9</w:t>
            </w:r>
          </w:p>
        </w:tc>
        <w:tc>
          <w:tcPr>
            <w:tcW w:w="9617" w:type="dxa"/>
            <w:tcBorders>
              <w:left w:val="single" w:sz="4" w:space="0" w:color="auto"/>
              <w:right w:val="single" w:sz="4" w:space="0" w:color="auto"/>
            </w:tcBorders>
          </w:tcPr>
          <w:p w14:paraId="1DE96AE3" w14:textId="18EC506C" w:rsidR="00511B3E" w:rsidRPr="004E6794" w:rsidRDefault="00A36855">
            <w:pPr>
              <w:pStyle w:val="Header"/>
              <w:spacing w:line="240" w:lineRule="auto"/>
              <w:jc w:val="both"/>
              <w:rPr>
                <w:rFonts w:ascii="Lato" w:hAnsi="Lato"/>
              </w:rPr>
            </w:pPr>
            <w:r>
              <w:rPr>
                <w:rFonts w:ascii="Lato" w:hAnsi="Lato"/>
                <w:bCs/>
              </w:rPr>
              <w:t xml:space="preserve">An MMF may invest up to </w:t>
            </w:r>
            <w:r w:rsidR="00C826A3">
              <w:rPr>
                <w:rFonts w:ascii="Lato" w:hAnsi="Lato"/>
                <w:bCs/>
              </w:rPr>
              <w:t>100</w:t>
            </w:r>
            <w:r w:rsidR="00F04FAD" w:rsidRPr="00F04FAD">
              <w:rPr>
                <w:rFonts w:ascii="Lato" w:hAnsi="Lato"/>
                <w:bCs/>
              </w:rPr>
              <w:t>% of its assets in different money market instruments issued or guaranteed separately or jointly by the Union, the national, regional and local administrations of the Member States or their central banks, the European Central Bank, the European Investment Bank, the European Investment Fund, the European Stability Mechanism, the European Financial Stability Facility, a central authority or central bank of a third country, the International Monetary Fund, the International Bank for Reconstruction and Development, the Council of Europe Development Bank, the European Bank for Reconstruction and Development, the Bank for International Settlements, or any other relevant international financial institution or organisation to which one or more Member States belong</w:t>
            </w:r>
            <w:r w:rsidR="00F04FAD">
              <w:rPr>
                <w:rFonts w:ascii="Lato" w:hAnsi="Lato"/>
                <w:bCs/>
              </w:rPr>
              <w:t>.</w:t>
            </w:r>
            <w:r w:rsidR="002E1362">
              <w:rPr>
                <w:rFonts w:ascii="Lato" w:hAnsi="Lato"/>
                <w:bCs/>
              </w:rPr>
              <w:t xml:space="preserve"> </w:t>
            </w:r>
            <w:r w:rsidR="002E1362" w:rsidRPr="00BB6A7F">
              <w:rPr>
                <w:rFonts w:ascii="Lato" w:hAnsi="Lato"/>
                <w:b/>
                <w:bCs/>
              </w:rPr>
              <w:t>This may only be included where the MMF has sought and received this derogation from the Central Bank.</w:t>
            </w:r>
          </w:p>
        </w:tc>
      </w:tr>
      <w:tr w:rsidR="00511B3E" w:rsidRPr="00226335" w14:paraId="125E876E" w14:textId="77777777" w:rsidTr="007B13FE">
        <w:trPr>
          <w:gridAfter w:val="1"/>
          <w:wAfter w:w="11" w:type="dxa"/>
        </w:trPr>
        <w:tc>
          <w:tcPr>
            <w:tcW w:w="675" w:type="dxa"/>
            <w:tcBorders>
              <w:left w:val="single" w:sz="4" w:space="0" w:color="auto"/>
              <w:right w:val="single" w:sz="4" w:space="0" w:color="auto"/>
            </w:tcBorders>
          </w:tcPr>
          <w:p w14:paraId="5465CFD8" w14:textId="77777777" w:rsidR="00511B3E" w:rsidRPr="004E6794" w:rsidRDefault="00511B3E" w:rsidP="00DA1668">
            <w:pPr>
              <w:spacing w:line="240" w:lineRule="auto"/>
              <w:jc w:val="both"/>
              <w:rPr>
                <w:rFonts w:ascii="Lato" w:hAnsi="Lato"/>
                <w:b/>
                <w:bCs/>
              </w:rPr>
            </w:pPr>
          </w:p>
        </w:tc>
        <w:tc>
          <w:tcPr>
            <w:tcW w:w="9617" w:type="dxa"/>
            <w:tcBorders>
              <w:left w:val="single" w:sz="4" w:space="0" w:color="auto"/>
              <w:right w:val="single" w:sz="4" w:space="0" w:color="auto"/>
            </w:tcBorders>
          </w:tcPr>
          <w:p w14:paraId="60E37DD0" w14:textId="77777777" w:rsidR="00511B3E" w:rsidRPr="004E6794" w:rsidRDefault="00511B3E" w:rsidP="00DA1668">
            <w:pPr>
              <w:pStyle w:val="Header"/>
              <w:spacing w:line="240" w:lineRule="auto"/>
              <w:jc w:val="both"/>
              <w:rPr>
                <w:rFonts w:ascii="Lato" w:hAnsi="Lato"/>
                <w:b/>
              </w:rPr>
            </w:pPr>
          </w:p>
        </w:tc>
      </w:tr>
      <w:tr w:rsidR="00511B3E" w:rsidRPr="00226335" w14:paraId="3EF4B855" w14:textId="77777777" w:rsidTr="007B13FE">
        <w:trPr>
          <w:gridAfter w:val="1"/>
          <w:wAfter w:w="11" w:type="dxa"/>
        </w:trPr>
        <w:tc>
          <w:tcPr>
            <w:tcW w:w="675" w:type="dxa"/>
            <w:tcBorders>
              <w:left w:val="single" w:sz="4" w:space="0" w:color="auto"/>
              <w:right w:val="single" w:sz="4" w:space="0" w:color="auto"/>
            </w:tcBorders>
          </w:tcPr>
          <w:p w14:paraId="4F7E4BE5" w14:textId="74DB41FB" w:rsidR="00511B3E" w:rsidRPr="004E6794" w:rsidRDefault="00511B3E">
            <w:pPr>
              <w:spacing w:line="240" w:lineRule="auto"/>
              <w:jc w:val="both"/>
              <w:rPr>
                <w:rFonts w:ascii="Lato" w:hAnsi="Lato"/>
                <w:b/>
                <w:bCs/>
              </w:rPr>
            </w:pPr>
            <w:r w:rsidRPr="004E6794">
              <w:rPr>
                <w:rFonts w:ascii="Lato" w:hAnsi="Lato"/>
                <w:b/>
                <w:bCs/>
              </w:rPr>
              <w:t>2.1</w:t>
            </w:r>
            <w:r w:rsidR="00D3658B">
              <w:rPr>
                <w:rFonts w:ascii="Lato" w:hAnsi="Lato"/>
                <w:b/>
                <w:bCs/>
              </w:rPr>
              <w:t>0</w:t>
            </w:r>
          </w:p>
        </w:tc>
        <w:tc>
          <w:tcPr>
            <w:tcW w:w="9617" w:type="dxa"/>
            <w:tcBorders>
              <w:left w:val="single" w:sz="4" w:space="0" w:color="auto"/>
              <w:right w:val="single" w:sz="4" w:space="0" w:color="auto"/>
            </w:tcBorders>
          </w:tcPr>
          <w:p w14:paraId="6C10DF08" w14:textId="3151AC99" w:rsidR="006448FC" w:rsidRDefault="006448FC" w:rsidP="00DA1668">
            <w:pPr>
              <w:pStyle w:val="Header"/>
              <w:spacing w:line="240" w:lineRule="auto"/>
              <w:jc w:val="both"/>
              <w:rPr>
                <w:rFonts w:ascii="Lato" w:hAnsi="Lato"/>
                <w:bCs/>
              </w:rPr>
            </w:pPr>
            <w:r>
              <w:rPr>
                <w:rFonts w:ascii="Lato" w:hAnsi="Lato"/>
                <w:bCs/>
              </w:rPr>
              <w:t>Pa</w:t>
            </w:r>
            <w:r w:rsidR="00C826A3">
              <w:rPr>
                <w:rFonts w:ascii="Lato" w:hAnsi="Lato"/>
                <w:bCs/>
              </w:rPr>
              <w:t>ragraph 2.9</w:t>
            </w:r>
            <w:r>
              <w:rPr>
                <w:rFonts w:ascii="Lato" w:hAnsi="Lato"/>
                <w:bCs/>
              </w:rPr>
              <w:t xml:space="preserve"> shall only apply where all of the following requirements are met:</w:t>
            </w:r>
          </w:p>
          <w:p w14:paraId="59E25A98" w14:textId="3306D1E3" w:rsidR="001342EF" w:rsidRDefault="001342EF" w:rsidP="007B13FE">
            <w:pPr>
              <w:pStyle w:val="Header"/>
              <w:numPr>
                <w:ilvl w:val="0"/>
                <w:numId w:val="67"/>
              </w:numPr>
              <w:spacing w:line="240" w:lineRule="auto"/>
              <w:jc w:val="both"/>
              <w:rPr>
                <w:rFonts w:ascii="Lato" w:hAnsi="Lato"/>
                <w:bCs/>
              </w:rPr>
            </w:pPr>
            <w:r w:rsidRPr="001342EF">
              <w:rPr>
                <w:rFonts w:ascii="Lato" w:hAnsi="Lato"/>
                <w:bCs/>
              </w:rPr>
              <w:t>the MMF holds money market instruments from at least six different issues by the issuer;</w:t>
            </w:r>
          </w:p>
          <w:p w14:paraId="5B507822" w14:textId="2824ED26" w:rsidR="00B91173" w:rsidRDefault="001342EF" w:rsidP="007B13FE">
            <w:pPr>
              <w:pStyle w:val="Header"/>
              <w:numPr>
                <w:ilvl w:val="0"/>
                <w:numId w:val="67"/>
              </w:numPr>
              <w:spacing w:line="240" w:lineRule="auto"/>
              <w:jc w:val="both"/>
              <w:rPr>
                <w:rFonts w:ascii="Lato" w:hAnsi="Lato"/>
                <w:bCs/>
              </w:rPr>
            </w:pPr>
            <w:r w:rsidRPr="001342EF">
              <w:rPr>
                <w:rFonts w:ascii="Lato" w:hAnsi="Lato"/>
                <w:bCs/>
              </w:rPr>
              <w:t xml:space="preserve">the MMF limits the investment in money market instruments from the same </w:t>
            </w:r>
            <w:r w:rsidR="00C826A3">
              <w:rPr>
                <w:rFonts w:ascii="Lato" w:hAnsi="Lato"/>
                <w:bCs/>
              </w:rPr>
              <w:t>issue to a maximum of 30</w:t>
            </w:r>
            <w:r w:rsidRPr="001342EF">
              <w:rPr>
                <w:rFonts w:ascii="Lato" w:hAnsi="Lato"/>
                <w:bCs/>
              </w:rPr>
              <w:t>% of its assets;</w:t>
            </w:r>
          </w:p>
          <w:p w14:paraId="2BAA95CF" w14:textId="0B429A37" w:rsidR="00354E74" w:rsidRDefault="00646D42" w:rsidP="00646D42">
            <w:pPr>
              <w:pStyle w:val="Header"/>
              <w:numPr>
                <w:ilvl w:val="0"/>
                <w:numId w:val="67"/>
              </w:numPr>
              <w:spacing w:line="240" w:lineRule="auto"/>
              <w:jc w:val="both"/>
              <w:rPr>
                <w:rFonts w:ascii="Lato" w:hAnsi="Lato"/>
                <w:bCs/>
              </w:rPr>
            </w:pPr>
            <w:r w:rsidRPr="00646D42">
              <w:rPr>
                <w:rFonts w:ascii="Lato" w:hAnsi="Lato"/>
                <w:bCs/>
              </w:rPr>
              <w:t>the MMF makes express reference, in its fund rules or instruments of incorporation, to all administrations, institutions or organisations referred to in the first subparagraph that issue or guarantee separately or jointly money market instruments in which i</w:t>
            </w:r>
            <w:r w:rsidR="00B6076B">
              <w:rPr>
                <w:rFonts w:ascii="Lato" w:hAnsi="Lato"/>
                <w:bCs/>
              </w:rPr>
              <w:t>t intends to invest more than 5</w:t>
            </w:r>
            <w:r w:rsidRPr="00646D42">
              <w:rPr>
                <w:rFonts w:ascii="Lato" w:hAnsi="Lato"/>
                <w:bCs/>
              </w:rPr>
              <w:t>% of its assets;</w:t>
            </w:r>
          </w:p>
          <w:p w14:paraId="5C608D7D" w14:textId="6567FC30" w:rsidR="00646D42" w:rsidRPr="004E6794" w:rsidRDefault="00646D42" w:rsidP="00646D42">
            <w:pPr>
              <w:pStyle w:val="Header"/>
              <w:numPr>
                <w:ilvl w:val="0"/>
                <w:numId w:val="67"/>
              </w:numPr>
              <w:spacing w:line="240" w:lineRule="auto"/>
              <w:jc w:val="both"/>
              <w:rPr>
                <w:rFonts w:ascii="Lato" w:hAnsi="Lato"/>
                <w:bCs/>
              </w:rPr>
            </w:pPr>
            <w:r w:rsidRPr="00646D42">
              <w:rPr>
                <w:rFonts w:ascii="Lato" w:hAnsi="Lato"/>
                <w:bCs/>
              </w:rPr>
              <w:t>the MMF includes a prominent statement in its prospectus and marketing communications drawing attention to the use of the derogation and indicating all administrations, institutions or organisations referred to in the first subparagraph that issue or guarantee separately or jointly money market instruments in which it intends to invest more than 5% of its assets.</w:t>
            </w:r>
          </w:p>
          <w:p w14:paraId="391D9548" w14:textId="77777777" w:rsidR="00B91173" w:rsidRPr="004E6794" w:rsidRDefault="00B91173" w:rsidP="002B743F">
            <w:pPr>
              <w:pStyle w:val="Header"/>
              <w:spacing w:line="240" w:lineRule="auto"/>
              <w:ind w:left="720"/>
              <w:jc w:val="both"/>
              <w:rPr>
                <w:rFonts w:ascii="Lato" w:hAnsi="Lato"/>
                <w:bCs/>
              </w:rPr>
            </w:pPr>
          </w:p>
        </w:tc>
      </w:tr>
      <w:tr w:rsidR="003D45AC" w:rsidRPr="00226335" w14:paraId="6FA85A4F" w14:textId="77777777" w:rsidTr="00862A00">
        <w:trPr>
          <w:gridAfter w:val="1"/>
          <w:wAfter w:w="11" w:type="dxa"/>
        </w:trPr>
        <w:tc>
          <w:tcPr>
            <w:tcW w:w="675" w:type="dxa"/>
            <w:tcBorders>
              <w:left w:val="single" w:sz="4" w:space="0" w:color="auto"/>
              <w:right w:val="single" w:sz="4" w:space="0" w:color="auto"/>
            </w:tcBorders>
          </w:tcPr>
          <w:p w14:paraId="4D50722A" w14:textId="5EA0027D" w:rsidR="003D45AC" w:rsidRPr="004E6794" w:rsidRDefault="00CF5C39">
            <w:pPr>
              <w:spacing w:line="240" w:lineRule="auto"/>
              <w:jc w:val="both"/>
              <w:rPr>
                <w:rFonts w:ascii="Lato" w:hAnsi="Lato"/>
                <w:b/>
                <w:bCs/>
              </w:rPr>
            </w:pPr>
            <w:r>
              <w:rPr>
                <w:rFonts w:ascii="Lato" w:hAnsi="Lato"/>
                <w:b/>
                <w:bCs/>
              </w:rPr>
              <w:t>2.1</w:t>
            </w:r>
            <w:r w:rsidR="00D3658B">
              <w:rPr>
                <w:rFonts w:ascii="Lato" w:hAnsi="Lato"/>
                <w:b/>
                <w:bCs/>
              </w:rPr>
              <w:t>1</w:t>
            </w:r>
          </w:p>
        </w:tc>
        <w:tc>
          <w:tcPr>
            <w:tcW w:w="9617" w:type="dxa"/>
            <w:tcBorders>
              <w:left w:val="single" w:sz="4" w:space="0" w:color="auto"/>
              <w:right w:val="single" w:sz="4" w:space="0" w:color="auto"/>
            </w:tcBorders>
          </w:tcPr>
          <w:p w14:paraId="22389492" w14:textId="324423ED" w:rsidR="003D45AC" w:rsidRPr="004E6794" w:rsidRDefault="001342EF">
            <w:pPr>
              <w:pStyle w:val="Header"/>
              <w:spacing w:line="240" w:lineRule="auto"/>
              <w:jc w:val="both"/>
              <w:rPr>
                <w:rFonts w:ascii="Lato" w:hAnsi="Lato"/>
                <w:bCs/>
              </w:rPr>
            </w:pPr>
            <w:r w:rsidRPr="001342EF">
              <w:rPr>
                <w:rFonts w:ascii="Lato" w:hAnsi="Lato"/>
                <w:bCs/>
              </w:rPr>
              <w:t xml:space="preserve">Notwithstanding the individual </w:t>
            </w:r>
            <w:r>
              <w:rPr>
                <w:rFonts w:ascii="Lato" w:hAnsi="Lato"/>
                <w:bCs/>
              </w:rPr>
              <w:t>limits laid down in paragraph 2.</w:t>
            </w:r>
            <w:r w:rsidR="00C826A3">
              <w:rPr>
                <w:rFonts w:ascii="Lato" w:hAnsi="Lato"/>
                <w:bCs/>
              </w:rPr>
              <w:t>1</w:t>
            </w:r>
            <w:r>
              <w:rPr>
                <w:rFonts w:ascii="Lato" w:hAnsi="Lato"/>
                <w:bCs/>
              </w:rPr>
              <w:t>,</w:t>
            </w:r>
            <w:r w:rsidRPr="001342EF">
              <w:rPr>
                <w:rFonts w:ascii="Lato" w:hAnsi="Lato"/>
                <w:bCs/>
              </w:rPr>
              <w:t xml:space="preserve"> an</w:t>
            </w:r>
            <w:r>
              <w:rPr>
                <w:rFonts w:ascii="Lato" w:hAnsi="Lato"/>
                <w:bCs/>
              </w:rPr>
              <w:t xml:space="preserve"> MMF may invest no more than 10</w:t>
            </w:r>
            <w:r w:rsidRPr="001342EF">
              <w:rPr>
                <w:rFonts w:ascii="Lato" w:hAnsi="Lato"/>
                <w:bCs/>
              </w:rPr>
              <w:t>% of its assets in bonds issued by a single credit institution that has its registered office in a Member State and is subject by law to special public supervision designed to protect bond-holders. In particular, sums deriving from the issue of those</w:t>
            </w:r>
            <w:r>
              <w:rPr>
                <w:rFonts w:ascii="Lato" w:hAnsi="Lato"/>
                <w:bCs/>
              </w:rPr>
              <w:t xml:space="preserve"> </w:t>
            </w:r>
            <w:r w:rsidRPr="001342EF">
              <w:rPr>
                <w:rFonts w:ascii="Lato" w:hAnsi="Lato"/>
                <w:bCs/>
              </w:rPr>
              <w:t>bonds shall be invested in accordance with the law in assets which, during the whole period of validity of the bonds, are capable of covering claims attaching to the bonds and which, in the event of failure of the issuer, would be used on a priority basis for the reimbursement of the principal and payment of the accrued interest.</w:t>
            </w:r>
          </w:p>
        </w:tc>
      </w:tr>
      <w:tr w:rsidR="00CF5C39" w:rsidRPr="00226335" w14:paraId="7D975AC8" w14:textId="77777777" w:rsidTr="00862A00">
        <w:trPr>
          <w:gridAfter w:val="1"/>
          <w:wAfter w:w="11" w:type="dxa"/>
        </w:trPr>
        <w:tc>
          <w:tcPr>
            <w:tcW w:w="675" w:type="dxa"/>
            <w:tcBorders>
              <w:left w:val="single" w:sz="4" w:space="0" w:color="auto"/>
              <w:right w:val="single" w:sz="4" w:space="0" w:color="auto"/>
            </w:tcBorders>
          </w:tcPr>
          <w:p w14:paraId="289D8E86" w14:textId="77777777" w:rsidR="00CF5C39" w:rsidRDefault="00CF5C39" w:rsidP="00A2447E">
            <w:pPr>
              <w:spacing w:line="240" w:lineRule="auto"/>
              <w:jc w:val="both"/>
              <w:rPr>
                <w:rFonts w:ascii="Lato" w:hAnsi="Lato"/>
                <w:b/>
                <w:bCs/>
              </w:rPr>
            </w:pPr>
          </w:p>
        </w:tc>
        <w:tc>
          <w:tcPr>
            <w:tcW w:w="9617" w:type="dxa"/>
            <w:tcBorders>
              <w:left w:val="single" w:sz="4" w:space="0" w:color="auto"/>
              <w:right w:val="single" w:sz="4" w:space="0" w:color="auto"/>
            </w:tcBorders>
          </w:tcPr>
          <w:p w14:paraId="3F716E0A" w14:textId="77777777" w:rsidR="00CF5C39" w:rsidRPr="006826E7" w:rsidRDefault="00CF5C39" w:rsidP="00DA1668">
            <w:pPr>
              <w:pStyle w:val="Header"/>
              <w:spacing w:line="240" w:lineRule="auto"/>
              <w:jc w:val="both"/>
              <w:rPr>
                <w:rFonts w:ascii="Lato" w:hAnsi="Lato"/>
                <w:bCs/>
              </w:rPr>
            </w:pPr>
          </w:p>
        </w:tc>
      </w:tr>
      <w:tr w:rsidR="00CF5C39" w:rsidRPr="00226335" w14:paraId="649B5217" w14:textId="77777777" w:rsidTr="00862A00">
        <w:trPr>
          <w:gridAfter w:val="1"/>
          <w:wAfter w:w="11" w:type="dxa"/>
        </w:trPr>
        <w:tc>
          <w:tcPr>
            <w:tcW w:w="675" w:type="dxa"/>
            <w:tcBorders>
              <w:left w:val="single" w:sz="4" w:space="0" w:color="auto"/>
              <w:right w:val="single" w:sz="4" w:space="0" w:color="auto"/>
            </w:tcBorders>
          </w:tcPr>
          <w:p w14:paraId="3282B31A" w14:textId="6A174055" w:rsidR="00CF5C39" w:rsidRDefault="008538A7">
            <w:pPr>
              <w:spacing w:line="240" w:lineRule="auto"/>
              <w:jc w:val="both"/>
              <w:rPr>
                <w:rFonts w:ascii="Lato" w:hAnsi="Lato"/>
                <w:b/>
                <w:bCs/>
              </w:rPr>
            </w:pPr>
            <w:r>
              <w:rPr>
                <w:rFonts w:ascii="Lato" w:hAnsi="Lato"/>
                <w:b/>
                <w:bCs/>
              </w:rPr>
              <w:t>2.1</w:t>
            </w:r>
            <w:r w:rsidR="00D3658B">
              <w:rPr>
                <w:rFonts w:ascii="Lato" w:hAnsi="Lato"/>
                <w:b/>
                <w:bCs/>
              </w:rPr>
              <w:t>2</w:t>
            </w:r>
          </w:p>
        </w:tc>
        <w:tc>
          <w:tcPr>
            <w:tcW w:w="9617" w:type="dxa"/>
            <w:tcBorders>
              <w:left w:val="single" w:sz="4" w:space="0" w:color="auto"/>
              <w:right w:val="single" w:sz="4" w:space="0" w:color="auto"/>
            </w:tcBorders>
          </w:tcPr>
          <w:p w14:paraId="1EF97F74" w14:textId="245C8BC4" w:rsidR="00CF5C39" w:rsidRPr="006826E7" w:rsidRDefault="008538A7">
            <w:pPr>
              <w:pStyle w:val="Header"/>
              <w:spacing w:line="240" w:lineRule="auto"/>
              <w:jc w:val="both"/>
              <w:rPr>
                <w:rFonts w:ascii="Lato" w:hAnsi="Lato"/>
                <w:bCs/>
              </w:rPr>
            </w:pPr>
            <w:r w:rsidRPr="008538A7">
              <w:rPr>
                <w:rFonts w:ascii="Lato" w:hAnsi="Lato"/>
                <w:bCs/>
              </w:rPr>
              <w:t>W</w:t>
            </w:r>
            <w:r w:rsidR="00C826A3">
              <w:rPr>
                <w:rFonts w:ascii="Lato" w:hAnsi="Lato"/>
                <w:bCs/>
              </w:rPr>
              <w:t>here an MMF invests more than 5</w:t>
            </w:r>
            <w:r w:rsidRPr="008538A7">
              <w:rPr>
                <w:rFonts w:ascii="Lato" w:hAnsi="Lato"/>
                <w:bCs/>
              </w:rPr>
              <w:t xml:space="preserve">% of its assets in the bonds referred to in </w:t>
            </w:r>
            <w:r w:rsidR="00A67343">
              <w:rPr>
                <w:rFonts w:ascii="Lato" w:hAnsi="Lato"/>
                <w:bCs/>
              </w:rPr>
              <w:t>paragraph 2.1</w:t>
            </w:r>
            <w:r w:rsidR="004036B1">
              <w:rPr>
                <w:rFonts w:ascii="Lato" w:hAnsi="Lato"/>
                <w:bCs/>
              </w:rPr>
              <w:t>1</w:t>
            </w:r>
            <w:r w:rsidRPr="008538A7">
              <w:rPr>
                <w:rFonts w:ascii="Lato" w:hAnsi="Lato"/>
                <w:bCs/>
              </w:rPr>
              <w:t xml:space="preserve"> issued by a single issuer, the total value of those </w:t>
            </w:r>
            <w:r w:rsidR="004036B1">
              <w:rPr>
                <w:rFonts w:ascii="Lato" w:hAnsi="Lato"/>
                <w:bCs/>
              </w:rPr>
              <w:t>investments shall not exceed 40</w:t>
            </w:r>
            <w:r w:rsidRPr="008538A7">
              <w:rPr>
                <w:rFonts w:ascii="Lato" w:hAnsi="Lato"/>
                <w:bCs/>
              </w:rPr>
              <w:t>% of the value of the assets of the MMF.</w:t>
            </w:r>
          </w:p>
        </w:tc>
      </w:tr>
      <w:tr w:rsidR="00A67343" w:rsidRPr="00226335" w14:paraId="304B10C1" w14:textId="77777777" w:rsidTr="00862A00">
        <w:trPr>
          <w:gridAfter w:val="1"/>
          <w:wAfter w:w="11" w:type="dxa"/>
        </w:trPr>
        <w:tc>
          <w:tcPr>
            <w:tcW w:w="675" w:type="dxa"/>
            <w:tcBorders>
              <w:left w:val="single" w:sz="4" w:space="0" w:color="auto"/>
              <w:right w:val="single" w:sz="4" w:space="0" w:color="auto"/>
            </w:tcBorders>
          </w:tcPr>
          <w:p w14:paraId="6D8E5619" w14:textId="77777777" w:rsidR="00A67343" w:rsidRDefault="00A67343" w:rsidP="00CE2B56">
            <w:pPr>
              <w:spacing w:line="240" w:lineRule="auto"/>
              <w:jc w:val="both"/>
              <w:rPr>
                <w:rFonts w:ascii="Lato" w:hAnsi="Lato"/>
                <w:b/>
                <w:bCs/>
              </w:rPr>
            </w:pPr>
          </w:p>
        </w:tc>
        <w:tc>
          <w:tcPr>
            <w:tcW w:w="9617" w:type="dxa"/>
            <w:tcBorders>
              <w:left w:val="single" w:sz="4" w:space="0" w:color="auto"/>
              <w:right w:val="single" w:sz="4" w:space="0" w:color="auto"/>
            </w:tcBorders>
          </w:tcPr>
          <w:p w14:paraId="0889FA11" w14:textId="77777777" w:rsidR="00A67343" w:rsidRPr="008538A7" w:rsidRDefault="00A67343" w:rsidP="008C48CA">
            <w:pPr>
              <w:pStyle w:val="Header"/>
              <w:spacing w:line="240" w:lineRule="auto"/>
              <w:jc w:val="both"/>
              <w:rPr>
                <w:rFonts w:ascii="Lato" w:hAnsi="Lato"/>
                <w:bCs/>
              </w:rPr>
            </w:pPr>
          </w:p>
        </w:tc>
      </w:tr>
      <w:tr w:rsidR="004B5991" w:rsidRPr="00226335" w14:paraId="05054BA1" w14:textId="77777777" w:rsidTr="00862A00">
        <w:trPr>
          <w:gridAfter w:val="1"/>
          <w:wAfter w:w="11" w:type="dxa"/>
        </w:trPr>
        <w:tc>
          <w:tcPr>
            <w:tcW w:w="675" w:type="dxa"/>
            <w:tcBorders>
              <w:left w:val="single" w:sz="4" w:space="0" w:color="auto"/>
              <w:right w:val="single" w:sz="4" w:space="0" w:color="auto"/>
            </w:tcBorders>
          </w:tcPr>
          <w:p w14:paraId="35A92B1A" w14:textId="759CAC11" w:rsidR="004B5991" w:rsidRDefault="008C48CA">
            <w:pPr>
              <w:spacing w:line="240" w:lineRule="auto"/>
              <w:jc w:val="both"/>
              <w:rPr>
                <w:rFonts w:ascii="Lato" w:hAnsi="Lato"/>
                <w:b/>
                <w:bCs/>
              </w:rPr>
            </w:pPr>
            <w:r>
              <w:rPr>
                <w:rFonts w:ascii="Lato" w:hAnsi="Lato"/>
                <w:b/>
                <w:bCs/>
              </w:rPr>
              <w:t>2.1</w:t>
            </w:r>
            <w:r w:rsidR="00D3658B">
              <w:rPr>
                <w:rFonts w:ascii="Lato" w:hAnsi="Lato"/>
                <w:b/>
                <w:bCs/>
              </w:rPr>
              <w:t>3</w:t>
            </w:r>
          </w:p>
        </w:tc>
        <w:tc>
          <w:tcPr>
            <w:tcW w:w="9617" w:type="dxa"/>
            <w:tcBorders>
              <w:left w:val="single" w:sz="4" w:space="0" w:color="auto"/>
              <w:right w:val="single" w:sz="4" w:space="0" w:color="auto"/>
            </w:tcBorders>
          </w:tcPr>
          <w:p w14:paraId="35E749C1" w14:textId="36B62E1B" w:rsidR="004B5991" w:rsidRPr="007B13FE" w:rsidRDefault="008C48CA">
            <w:pPr>
              <w:pStyle w:val="Header"/>
              <w:spacing w:line="240" w:lineRule="auto"/>
              <w:jc w:val="both"/>
              <w:rPr>
                <w:rFonts w:ascii="Lato" w:hAnsi="Lato"/>
                <w:highlight w:val="cyan"/>
              </w:rPr>
            </w:pPr>
            <w:r w:rsidRPr="008C48CA">
              <w:rPr>
                <w:rFonts w:ascii="Lato" w:hAnsi="Lato"/>
              </w:rPr>
              <w:t xml:space="preserve">Notwithstanding the individual limits laid down in paragraph </w:t>
            </w:r>
            <w:r>
              <w:rPr>
                <w:rFonts w:ascii="Lato" w:hAnsi="Lato"/>
              </w:rPr>
              <w:t>2.</w:t>
            </w:r>
            <w:r w:rsidR="004036B1">
              <w:rPr>
                <w:rFonts w:ascii="Lato" w:hAnsi="Lato"/>
              </w:rPr>
              <w:t>1</w:t>
            </w:r>
            <w:r w:rsidRPr="008C48CA">
              <w:rPr>
                <w:rFonts w:ascii="Lato" w:hAnsi="Lato"/>
              </w:rPr>
              <w:t>, an</w:t>
            </w:r>
            <w:r w:rsidR="004036B1">
              <w:rPr>
                <w:rFonts w:ascii="Lato" w:hAnsi="Lato"/>
              </w:rPr>
              <w:t xml:space="preserve"> MMF may invest no more than 20</w:t>
            </w:r>
            <w:r w:rsidRPr="008C48CA">
              <w:rPr>
                <w:rFonts w:ascii="Lato" w:hAnsi="Lato"/>
              </w:rPr>
              <w:t xml:space="preserve">% of its assets in bonds issued by a single credit institution where the requirements set out in point (f) of Article 10(1) or point (c) of Article 11(1) of Delegated Regulation (EU) 2015/61 are met, including any possible investment in assets referred to in paragraph </w:t>
            </w:r>
            <w:r w:rsidR="00F6096E">
              <w:rPr>
                <w:rFonts w:ascii="Lato" w:hAnsi="Lato"/>
              </w:rPr>
              <w:t>2.1</w:t>
            </w:r>
            <w:r w:rsidR="004036B1">
              <w:rPr>
                <w:rFonts w:ascii="Lato" w:hAnsi="Lato"/>
              </w:rPr>
              <w:t>1</w:t>
            </w:r>
            <w:r w:rsidRPr="008C48CA">
              <w:rPr>
                <w:rFonts w:ascii="Lato" w:hAnsi="Lato"/>
              </w:rPr>
              <w:t>.</w:t>
            </w:r>
          </w:p>
        </w:tc>
      </w:tr>
      <w:tr w:rsidR="008C48CA" w:rsidRPr="00226335" w14:paraId="3F1876A5" w14:textId="77777777" w:rsidTr="00862A00">
        <w:trPr>
          <w:gridAfter w:val="1"/>
          <w:wAfter w:w="11" w:type="dxa"/>
        </w:trPr>
        <w:tc>
          <w:tcPr>
            <w:tcW w:w="675" w:type="dxa"/>
            <w:tcBorders>
              <w:left w:val="single" w:sz="4" w:space="0" w:color="auto"/>
              <w:right w:val="single" w:sz="4" w:space="0" w:color="auto"/>
            </w:tcBorders>
          </w:tcPr>
          <w:p w14:paraId="3C0A6990" w14:textId="77777777" w:rsidR="008C48CA" w:rsidRDefault="008C48CA"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6809D1E" w14:textId="77777777" w:rsidR="008C48CA" w:rsidRPr="008C48CA" w:rsidRDefault="008C48CA" w:rsidP="004B5991">
            <w:pPr>
              <w:pStyle w:val="Header"/>
              <w:spacing w:line="240" w:lineRule="auto"/>
              <w:jc w:val="both"/>
              <w:rPr>
                <w:rFonts w:ascii="Lato" w:hAnsi="Lato"/>
              </w:rPr>
            </w:pPr>
          </w:p>
        </w:tc>
      </w:tr>
      <w:tr w:rsidR="008C48CA" w:rsidRPr="00226335" w14:paraId="6A92A686" w14:textId="77777777" w:rsidTr="00862A00">
        <w:trPr>
          <w:gridAfter w:val="1"/>
          <w:wAfter w:w="11" w:type="dxa"/>
        </w:trPr>
        <w:tc>
          <w:tcPr>
            <w:tcW w:w="675" w:type="dxa"/>
            <w:tcBorders>
              <w:left w:val="single" w:sz="4" w:space="0" w:color="auto"/>
              <w:right w:val="single" w:sz="4" w:space="0" w:color="auto"/>
            </w:tcBorders>
          </w:tcPr>
          <w:p w14:paraId="49042E68" w14:textId="49F212E6" w:rsidR="008C48CA" w:rsidRDefault="008C48CA">
            <w:pPr>
              <w:spacing w:line="240" w:lineRule="auto"/>
              <w:jc w:val="both"/>
              <w:rPr>
                <w:rFonts w:ascii="Lato" w:hAnsi="Lato"/>
                <w:b/>
                <w:bCs/>
              </w:rPr>
            </w:pPr>
            <w:r>
              <w:rPr>
                <w:rFonts w:ascii="Lato" w:hAnsi="Lato"/>
                <w:b/>
                <w:bCs/>
              </w:rPr>
              <w:t>2.1</w:t>
            </w:r>
            <w:r w:rsidR="00D3658B">
              <w:rPr>
                <w:rFonts w:ascii="Lato" w:hAnsi="Lato"/>
                <w:b/>
                <w:bCs/>
              </w:rPr>
              <w:t>4</w:t>
            </w:r>
          </w:p>
        </w:tc>
        <w:tc>
          <w:tcPr>
            <w:tcW w:w="9617" w:type="dxa"/>
            <w:tcBorders>
              <w:left w:val="single" w:sz="4" w:space="0" w:color="auto"/>
              <w:right w:val="single" w:sz="4" w:space="0" w:color="auto"/>
            </w:tcBorders>
          </w:tcPr>
          <w:p w14:paraId="40752ED6" w14:textId="0B5555E1" w:rsidR="008C48CA" w:rsidRPr="008C48CA" w:rsidRDefault="008C48CA">
            <w:pPr>
              <w:pStyle w:val="Header"/>
              <w:spacing w:line="240" w:lineRule="auto"/>
              <w:jc w:val="both"/>
              <w:rPr>
                <w:rFonts w:ascii="Lato" w:hAnsi="Lato"/>
              </w:rPr>
            </w:pPr>
            <w:r w:rsidRPr="008C48CA">
              <w:rPr>
                <w:rFonts w:ascii="Lato" w:hAnsi="Lato"/>
              </w:rPr>
              <w:t>W</w:t>
            </w:r>
            <w:r w:rsidR="004036B1">
              <w:rPr>
                <w:rFonts w:ascii="Lato" w:hAnsi="Lato"/>
              </w:rPr>
              <w:t>here an MMF invests more than 5</w:t>
            </w:r>
            <w:r w:rsidRPr="008C48CA">
              <w:rPr>
                <w:rFonts w:ascii="Lato" w:hAnsi="Lato"/>
              </w:rPr>
              <w:t xml:space="preserve">% of its assets in the bonds referred to in </w:t>
            </w:r>
            <w:r w:rsidR="00414878">
              <w:rPr>
                <w:rFonts w:ascii="Lato" w:hAnsi="Lato"/>
              </w:rPr>
              <w:t>paragraph 2.1</w:t>
            </w:r>
            <w:r w:rsidR="00AA3F4A">
              <w:rPr>
                <w:rFonts w:ascii="Lato" w:hAnsi="Lato"/>
              </w:rPr>
              <w:t>3</w:t>
            </w:r>
            <w:r w:rsidRPr="008C48CA">
              <w:rPr>
                <w:rFonts w:ascii="Lato" w:hAnsi="Lato"/>
              </w:rPr>
              <w:t xml:space="preserve"> issued by a single issuer, the total value of those </w:t>
            </w:r>
            <w:r w:rsidR="00AA3F4A">
              <w:rPr>
                <w:rFonts w:ascii="Lato" w:hAnsi="Lato"/>
              </w:rPr>
              <w:t>investments shall not exceed 60</w:t>
            </w:r>
            <w:r w:rsidRPr="008C48CA">
              <w:rPr>
                <w:rFonts w:ascii="Lato" w:hAnsi="Lato"/>
              </w:rPr>
              <w:t>% of the value of the assets of the MMF, including any possible investment in a</w:t>
            </w:r>
            <w:r w:rsidR="00414878">
              <w:rPr>
                <w:rFonts w:ascii="Lato" w:hAnsi="Lato"/>
              </w:rPr>
              <w:t>ssets referred to in paragraph 2.1</w:t>
            </w:r>
            <w:r w:rsidR="00AA3F4A">
              <w:rPr>
                <w:rFonts w:ascii="Lato" w:hAnsi="Lato"/>
              </w:rPr>
              <w:t>1</w:t>
            </w:r>
            <w:r w:rsidRPr="008C48CA">
              <w:rPr>
                <w:rFonts w:ascii="Lato" w:hAnsi="Lato"/>
              </w:rPr>
              <w:t>, respecting the limits set out therein.</w:t>
            </w:r>
          </w:p>
        </w:tc>
      </w:tr>
      <w:tr w:rsidR="00414878" w:rsidRPr="00226335" w14:paraId="2E080A83" w14:textId="77777777" w:rsidTr="00862A00">
        <w:trPr>
          <w:gridAfter w:val="1"/>
          <w:wAfter w:w="11" w:type="dxa"/>
        </w:trPr>
        <w:tc>
          <w:tcPr>
            <w:tcW w:w="675" w:type="dxa"/>
            <w:tcBorders>
              <w:left w:val="single" w:sz="4" w:space="0" w:color="auto"/>
              <w:right w:val="single" w:sz="4" w:space="0" w:color="auto"/>
            </w:tcBorders>
          </w:tcPr>
          <w:p w14:paraId="3F7D45CA" w14:textId="77777777" w:rsidR="00414878" w:rsidRDefault="00414878"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43EB1EC3" w14:textId="77777777" w:rsidR="00414878" w:rsidRPr="008C48CA" w:rsidRDefault="00414878" w:rsidP="00414878">
            <w:pPr>
              <w:pStyle w:val="Header"/>
              <w:spacing w:line="240" w:lineRule="auto"/>
              <w:jc w:val="both"/>
              <w:rPr>
                <w:rFonts w:ascii="Lato" w:hAnsi="Lato"/>
              </w:rPr>
            </w:pPr>
          </w:p>
        </w:tc>
      </w:tr>
      <w:tr w:rsidR="004B5991" w:rsidRPr="00226335" w14:paraId="66A12430" w14:textId="77777777" w:rsidTr="00862A00">
        <w:trPr>
          <w:gridAfter w:val="1"/>
          <w:wAfter w:w="11" w:type="dxa"/>
        </w:trPr>
        <w:tc>
          <w:tcPr>
            <w:tcW w:w="675" w:type="dxa"/>
            <w:tcBorders>
              <w:left w:val="single" w:sz="4" w:space="0" w:color="auto"/>
              <w:right w:val="single" w:sz="4" w:space="0" w:color="auto"/>
            </w:tcBorders>
          </w:tcPr>
          <w:p w14:paraId="37332326" w14:textId="26B2131C" w:rsidR="004B5991" w:rsidRPr="004E6794" w:rsidRDefault="00414878">
            <w:pPr>
              <w:spacing w:line="240" w:lineRule="auto"/>
              <w:jc w:val="both"/>
              <w:rPr>
                <w:rFonts w:ascii="Lato" w:hAnsi="Lato"/>
                <w:b/>
                <w:bCs/>
              </w:rPr>
            </w:pPr>
            <w:r>
              <w:rPr>
                <w:rFonts w:ascii="Lato" w:hAnsi="Lato"/>
                <w:b/>
                <w:bCs/>
              </w:rPr>
              <w:t>2.1</w:t>
            </w:r>
            <w:r w:rsidR="00D3658B">
              <w:rPr>
                <w:rFonts w:ascii="Lato" w:hAnsi="Lato"/>
                <w:b/>
                <w:bCs/>
              </w:rPr>
              <w:t>5</w:t>
            </w:r>
          </w:p>
        </w:tc>
        <w:tc>
          <w:tcPr>
            <w:tcW w:w="9617" w:type="dxa"/>
            <w:tcBorders>
              <w:left w:val="single" w:sz="4" w:space="0" w:color="auto"/>
              <w:right w:val="single" w:sz="4" w:space="0" w:color="auto"/>
            </w:tcBorders>
          </w:tcPr>
          <w:p w14:paraId="3FD84378" w14:textId="51D38204" w:rsidR="004B5991" w:rsidRPr="004E6794" w:rsidRDefault="00414878">
            <w:pPr>
              <w:pStyle w:val="Header"/>
              <w:spacing w:line="240" w:lineRule="auto"/>
              <w:jc w:val="both"/>
              <w:rPr>
                <w:rFonts w:ascii="Lato" w:hAnsi="Lato"/>
                <w:bCs/>
              </w:rPr>
            </w:pPr>
            <w:r w:rsidRPr="00414878">
              <w:rPr>
                <w:rFonts w:ascii="Lato" w:hAnsi="Lato"/>
                <w:bCs/>
              </w:rPr>
              <w:t>Companies which are included in the same group for the purposes of consolidated accounts under Directive 2013/34/EU of the European Parliament and of the Council or in accordance with recognised international accounting rules, shall be regarded as a single body for the purpose of calculating the limits referred to in paragraph</w:t>
            </w:r>
            <w:r>
              <w:rPr>
                <w:rFonts w:ascii="Lato" w:hAnsi="Lato"/>
                <w:bCs/>
              </w:rPr>
              <w:t>s 2.</w:t>
            </w:r>
            <w:r w:rsidR="00AA3F4A">
              <w:rPr>
                <w:rFonts w:ascii="Lato" w:hAnsi="Lato"/>
                <w:bCs/>
              </w:rPr>
              <w:t>1 to 2.8</w:t>
            </w:r>
            <w:r w:rsidRPr="00414878">
              <w:rPr>
                <w:rFonts w:ascii="Lato" w:hAnsi="Lato"/>
                <w:bCs/>
              </w:rPr>
              <w:t>.</w:t>
            </w:r>
          </w:p>
        </w:tc>
      </w:tr>
      <w:tr w:rsidR="004B5991" w:rsidRPr="00226335" w14:paraId="2ABC5B77" w14:textId="77777777" w:rsidTr="007B13FE">
        <w:trPr>
          <w:gridAfter w:val="1"/>
          <w:wAfter w:w="11" w:type="dxa"/>
        </w:trPr>
        <w:tc>
          <w:tcPr>
            <w:tcW w:w="675" w:type="dxa"/>
            <w:tcBorders>
              <w:top w:val="single" w:sz="4" w:space="0" w:color="auto"/>
              <w:left w:val="single" w:sz="4" w:space="0" w:color="auto"/>
              <w:bottom w:val="single" w:sz="4" w:space="0" w:color="auto"/>
              <w:right w:val="single" w:sz="4" w:space="0" w:color="auto"/>
            </w:tcBorders>
          </w:tcPr>
          <w:p w14:paraId="4EF63E39" w14:textId="77777777" w:rsidR="004B5991" w:rsidRPr="004E6794" w:rsidRDefault="004B5991" w:rsidP="004B5991">
            <w:pPr>
              <w:spacing w:line="240" w:lineRule="auto"/>
              <w:jc w:val="both"/>
              <w:rPr>
                <w:rFonts w:ascii="Lato" w:hAnsi="Lato"/>
                <w:b/>
                <w:bCs/>
              </w:rPr>
            </w:pPr>
            <w:r w:rsidRPr="004E6794">
              <w:rPr>
                <w:rFonts w:ascii="Lato" w:hAnsi="Lato"/>
                <w:b/>
                <w:bCs/>
              </w:rPr>
              <w:t>3</w:t>
            </w:r>
          </w:p>
        </w:tc>
        <w:tc>
          <w:tcPr>
            <w:tcW w:w="9617" w:type="dxa"/>
            <w:tcBorders>
              <w:top w:val="single" w:sz="4" w:space="0" w:color="auto"/>
              <w:left w:val="single" w:sz="4" w:space="0" w:color="auto"/>
              <w:bottom w:val="single" w:sz="4" w:space="0" w:color="auto"/>
              <w:right w:val="single" w:sz="4" w:space="0" w:color="auto"/>
            </w:tcBorders>
          </w:tcPr>
          <w:p w14:paraId="57BDE30D" w14:textId="7E397442" w:rsidR="004B5991" w:rsidRPr="007B13FE" w:rsidRDefault="00765CF8" w:rsidP="004B5991">
            <w:pPr>
              <w:pStyle w:val="Header"/>
              <w:spacing w:line="240" w:lineRule="auto"/>
              <w:jc w:val="both"/>
              <w:rPr>
                <w:rFonts w:ascii="Lato" w:hAnsi="Lato"/>
                <w:b/>
                <w:highlight w:val="cyan"/>
              </w:rPr>
            </w:pPr>
            <w:r w:rsidRPr="007B13FE">
              <w:rPr>
                <w:rFonts w:ascii="Lato" w:hAnsi="Lato"/>
                <w:b/>
              </w:rPr>
              <w:t>Eligible units or shares of MMFs</w:t>
            </w:r>
          </w:p>
        </w:tc>
      </w:tr>
      <w:tr w:rsidR="004B5991" w:rsidRPr="00226335" w14:paraId="4C6AFE18" w14:textId="77777777" w:rsidTr="007B13FE">
        <w:trPr>
          <w:gridAfter w:val="1"/>
          <w:wAfter w:w="11" w:type="dxa"/>
        </w:trPr>
        <w:tc>
          <w:tcPr>
            <w:tcW w:w="675" w:type="dxa"/>
            <w:tcBorders>
              <w:top w:val="single" w:sz="4" w:space="0" w:color="auto"/>
              <w:left w:val="single" w:sz="4" w:space="0" w:color="auto"/>
              <w:right w:val="single" w:sz="4" w:space="0" w:color="auto"/>
            </w:tcBorders>
          </w:tcPr>
          <w:p w14:paraId="170DB3BB" w14:textId="723E1741" w:rsidR="004B5991" w:rsidRPr="004E6794" w:rsidRDefault="00765CF8" w:rsidP="004B5991">
            <w:pPr>
              <w:spacing w:line="240" w:lineRule="auto"/>
              <w:jc w:val="both"/>
              <w:rPr>
                <w:rFonts w:ascii="Lato" w:hAnsi="Lato"/>
                <w:b/>
                <w:bCs/>
              </w:rPr>
            </w:pPr>
            <w:r>
              <w:rPr>
                <w:rFonts w:ascii="Lato" w:hAnsi="Lato"/>
                <w:b/>
                <w:bCs/>
              </w:rPr>
              <w:t>3.1</w:t>
            </w:r>
          </w:p>
        </w:tc>
        <w:tc>
          <w:tcPr>
            <w:tcW w:w="9617" w:type="dxa"/>
            <w:tcBorders>
              <w:top w:val="single" w:sz="4" w:space="0" w:color="auto"/>
              <w:left w:val="single" w:sz="4" w:space="0" w:color="auto"/>
              <w:right w:val="single" w:sz="4" w:space="0" w:color="auto"/>
            </w:tcBorders>
          </w:tcPr>
          <w:p w14:paraId="03B4DC10" w14:textId="5CD722C0" w:rsidR="004B5991" w:rsidRPr="007B13FE" w:rsidRDefault="00765CF8" w:rsidP="004B5991">
            <w:pPr>
              <w:pStyle w:val="Header"/>
              <w:spacing w:line="240" w:lineRule="auto"/>
              <w:jc w:val="both"/>
              <w:rPr>
                <w:rFonts w:ascii="Lato" w:hAnsi="Lato"/>
              </w:rPr>
            </w:pPr>
            <w:r w:rsidRPr="007B13FE">
              <w:rPr>
                <w:rFonts w:ascii="Lato" w:hAnsi="Lato"/>
              </w:rPr>
              <w:t>An MMF may acquire the units or shares of any other MMF (‘targeted MMF’) provided that all of the following conditions are fulfilled:</w:t>
            </w:r>
          </w:p>
        </w:tc>
      </w:tr>
      <w:tr w:rsidR="004B5991" w:rsidRPr="00226335" w14:paraId="07C61295" w14:textId="77777777" w:rsidTr="007B13FE">
        <w:trPr>
          <w:gridAfter w:val="1"/>
          <w:wAfter w:w="11" w:type="dxa"/>
        </w:trPr>
        <w:tc>
          <w:tcPr>
            <w:tcW w:w="675" w:type="dxa"/>
            <w:tcBorders>
              <w:left w:val="single" w:sz="4" w:space="0" w:color="auto"/>
              <w:right w:val="single" w:sz="4" w:space="0" w:color="auto"/>
            </w:tcBorders>
          </w:tcPr>
          <w:p w14:paraId="3FA2C5F8" w14:textId="7D2DF418" w:rsidR="004B5991" w:rsidRPr="004E6794" w:rsidRDefault="004B599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C62B26C" w14:textId="77777777" w:rsidR="00447E6D" w:rsidRDefault="00765CF8" w:rsidP="007B13FE">
            <w:pPr>
              <w:pStyle w:val="Header"/>
              <w:numPr>
                <w:ilvl w:val="0"/>
                <w:numId w:val="68"/>
              </w:numPr>
              <w:spacing w:line="240" w:lineRule="auto"/>
              <w:jc w:val="both"/>
              <w:rPr>
                <w:rFonts w:ascii="Lato" w:hAnsi="Lato"/>
              </w:rPr>
            </w:pPr>
            <w:r>
              <w:rPr>
                <w:rFonts w:ascii="Lato" w:hAnsi="Lato"/>
              </w:rPr>
              <w:t xml:space="preserve">no more than 10% </w:t>
            </w:r>
            <w:r w:rsidRPr="00765CF8">
              <w:rPr>
                <w:rFonts w:ascii="Lato" w:hAnsi="Lato"/>
              </w:rPr>
              <w:t>of the assets of the targeted MMF are able, according to its fund rules or instruments of incorporation, to be invested in aggregate in units or shares of other MMFs;</w:t>
            </w:r>
          </w:p>
          <w:p w14:paraId="6291A078" w14:textId="774F06D8" w:rsidR="004B5991" w:rsidRPr="00484B71" w:rsidRDefault="00447E6D" w:rsidP="007B13FE">
            <w:pPr>
              <w:pStyle w:val="Header"/>
              <w:numPr>
                <w:ilvl w:val="0"/>
                <w:numId w:val="68"/>
              </w:numPr>
              <w:spacing w:line="240" w:lineRule="auto"/>
              <w:jc w:val="both"/>
              <w:rPr>
                <w:rFonts w:ascii="Lato" w:hAnsi="Lato"/>
              </w:rPr>
            </w:pPr>
            <w:r w:rsidRPr="00447E6D">
              <w:rPr>
                <w:rFonts w:ascii="Lato" w:hAnsi="Lato"/>
              </w:rPr>
              <w:t>the targeted MMF does not hold units or shares in the acquiring MMF.</w:t>
            </w:r>
          </w:p>
        </w:tc>
      </w:tr>
      <w:tr w:rsidR="004B5991" w:rsidRPr="00226335" w14:paraId="263C9DA5" w14:textId="77777777" w:rsidTr="007B13FE">
        <w:trPr>
          <w:gridAfter w:val="1"/>
          <w:wAfter w:w="11" w:type="dxa"/>
        </w:trPr>
        <w:tc>
          <w:tcPr>
            <w:tcW w:w="675" w:type="dxa"/>
            <w:tcBorders>
              <w:left w:val="single" w:sz="4" w:space="0" w:color="auto"/>
              <w:right w:val="single" w:sz="4" w:space="0" w:color="auto"/>
            </w:tcBorders>
          </w:tcPr>
          <w:p w14:paraId="54C3A2B0" w14:textId="77777777" w:rsidR="004B5991" w:rsidRPr="004E6794" w:rsidRDefault="004B599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0451B7E" w14:textId="77777777" w:rsidR="004B5991" w:rsidRPr="004E6794" w:rsidRDefault="004B5991" w:rsidP="004B5991">
            <w:pPr>
              <w:pStyle w:val="Header"/>
              <w:spacing w:line="240" w:lineRule="auto"/>
              <w:jc w:val="both"/>
              <w:rPr>
                <w:rFonts w:ascii="Lato" w:hAnsi="Lato"/>
                <w:b/>
              </w:rPr>
            </w:pPr>
          </w:p>
        </w:tc>
      </w:tr>
      <w:tr w:rsidR="004B5991" w:rsidRPr="00226335" w14:paraId="310B9610" w14:textId="77777777" w:rsidTr="007B13FE">
        <w:trPr>
          <w:gridAfter w:val="1"/>
          <w:wAfter w:w="11" w:type="dxa"/>
        </w:trPr>
        <w:tc>
          <w:tcPr>
            <w:tcW w:w="675" w:type="dxa"/>
            <w:tcBorders>
              <w:left w:val="single" w:sz="4" w:space="0" w:color="auto"/>
              <w:right w:val="single" w:sz="4" w:space="0" w:color="auto"/>
            </w:tcBorders>
          </w:tcPr>
          <w:p w14:paraId="7E7899EE" w14:textId="77777777" w:rsidR="004B5991" w:rsidRPr="004E6794" w:rsidRDefault="004B5991" w:rsidP="004B5991">
            <w:pPr>
              <w:spacing w:line="240" w:lineRule="auto"/>
              <w:jc w:val="both"/>
              <w:rPr>
                <w:rFonts w:ascii="Lato" w:hAnsi="Lato"/>
                <w:b/>
                <w:bCs/>
              </w:rPr>
            </w:pPr>
            <w:r w:rsidRPr="004E6794">
              <w:rPr>
                <w:rFonts w:ascii="Lato" w:hAnsi="Lato"/>
                <w:b/>
                <w:bCs/>
              </w:rPr>
              <w:t>3.2</w:t>
            </w:r>
          </w:p>
        </w:tc>
        <w:tc>
          <w:tcPr>
            <w:tcW w:w="9617" w:type="dxa"/>
            <w:tcBorders>
              <w:left w:val="single" w:sz="4" w:space="0" w:color="auto"/>
              <w:right w:val="single" w:sz="4" w:space="0" w:color="auto"/>
            </w:tcBorders>
          </w:tcPr>
          <w:p w14:paraId="73B63B3D" w14:textId="2F6BD870" w:rsidR="004B5991" w:rsidRPr="004E6794" w:rsidRDefault="00484B71" w:rsidP="004B5991">
            <w:pPr>
              <w:pStyle w:val="Header"/>
              <w:spacing w:line="240" w:lineRule="auto"/>
              <w:jc w:val="both"/>
              <w:rPr>
                <w:rFonts w:ascii="Lato" w:hAnsi="Lato"/>
              </w:rPr>
            </w:pPr>
            <w:r w:rsidRPr="00484B71">
              <w:rPr>
                <w:rFonts w:ascii="Lato" w:hAnsi="Lato"/>
              </w:rPr>
              <w:t>An MMF whose units or shares have been acquired shall not invest in the acquiring MMF during the period in which the acquiring MMF holds units or shares in it.</w:t>
            </w:r>
          </w:p>
        </w:tc>
      </w:tr>
      <w:tr w:rsidR="004B5991" w:rsidRPr="00226335" w14:paraId="0D30759C" w14:textId="77777777" w:rsidTr="007B13FE">
        <w:trPr>
          <w:gridAfter w:val="1"/>
          <w:wAfter w:w="11" w:type="dxa"/>
        </w:trPr>
        <w:tc>
          <w:tcPr>
            <w:tcW w:w="675" w:type="dxa"/>
            <w:tcBorders>
              <w:left w:val="single" w:sz="4" w:space="0" w:color="auto"/>
              <w:right w:val="single" w:sz="4" w:space="0" w:color="auto"/>
            </w:tcBorders>
          </w:tcPr>
          <w:p w14:paraId="2488A3E1" w14:textId="77777777" w:rsidR="004B5991" w:rsidRPr="004E6794" w:rsidRDefault="004B5991" w:rsidP="004B5991">
            <w:pPr>
              <w:spacing w:line="240" w:lineRule="auto"/>
              <w:jc w:val="both"/>
              <w:rPr>
                <w:rFonts w:ascii="Lato" w:hAnsi="Lato"/>
              </w:rPr>
            </w:pPr>
          </w:p>
        </w:tc>
        <w:tc>
          <w:tcPr>
            <w:tcW w:w="9617" w:type="dxa"/>
            <w:tcBorders>
              <w:left w:val="single" w:sz="4" w:space="0" w:color="auto"/>
              <w:right w:val="single" w:sz="4" w:space="0" w:color="auto"/>
            </w:tcBorders>
          </w:tcPr>
          <w:p w14:paraId="2903ADD4" w14:textId="77777777" w:rsidR="004B5991" w:rsidRPr="004E6794" w:rsidRDefault="004B5991" w:rsidP="004B5991">
            <w:pPr>
              <w:pStyle w:val="Header"/>
              <w:spacing w:line="240" w:lineRule="auto"/>
              <w:jc w:val="both"/>
              <w:rPr>
                <w:rFonts w:ascii="Lato" w:hAnsi="Lato"/>
                <w:b/>
              </w:rPr>
            </w:pPr>
          </w:p>
        </w:tc>
      </w:tr>
      <w:tr w:rsidR="004B5991" w:rsidRPr="00226335" w14:paraId="205244CC" w14:textId="77777777" w:rsidTr="007B13FE">
        <w:trPr>
          <w:gridAfter w:val="1"/>
          <w:wAfter w:w="11" w:type="dxa"/>
        </w:trPr>
        <w:tc>
          <w:tcPr>
            <w:tcW w:w="675" w:type="dxa"/>
            <w:tcBorders>
              <w:left w:val="single" w:sz="4" w:space="0" w:color="auto"/>
              <w:right w:val="single" w:sz="4" w:space="0" w:color="auto"/>
            </w:tcBorders>
          </w:tcPr>
          <w:p w14:paraId="171CA21D" w14:textId="77777777" w:rsidR="004B5991" w:rsidRPr="004E6794" w:rsidRDefault="004B5991" w:rsidP="004B5991">
            <w:pPr>
              <w:spacing w:line="240" w:lineRule="auto"/>
              <w:jc w:val="both"/>
              <w:rPr>
                <w:rFonts w:ascii="Lato" w:hAnsi="Lato"/>
                <w:b/>
                <w:bCs/>
              </w:rPr>
            </w:pPr>
            <w:r w:rsidRPr="004E6794">
              <w:rPr>
                <w:rFonts w:ascii="Lato" w:hAnsi="Lato"/>
                <w:b/>
                <w:bCs/>
              </w:rPr>
              <w:t>3.3</w:t>
            </w:r>
          </w:p>
        </w:tc>
        <w:tc>
          <w:tcPr>
            <w:tcW w:w="9617" w:type="dxa"/>
            <w:tcBorders>
              <w:left w:val="single" w:sz="4" w:space="0" w:color="auto"/>
              <w:right w:val="single" w:sz="4" w:space="0" w:color="auto"/>
            </w:tcBorders>
          </w:tcPr>
          <w:p w14:paraId="4083EE1A" w14:textId="355AB4DA" w:rsidR="004B5991" w:rsidRPr="004E6794" w:rsidRDefault="00484B71" w:rsidP="00484B71">
            <w:pPr>
              <w:pStyle w:val="Header"/>
              <w:spacing w:line="240" w:lineRule="auto"/>
              <w:jc w:val="both"/>
              <w:rPr>
                <w:rFonts w:ascii="Lato" w:hAnsi="Lato"/>
              </w:rPr>
            </w:pPr>
            <w:r w:rsidRPr="00484B71">
              <w:rPr>
                <w:rFonts w:ascii="Lato" w:hAnsi="Lato"/>
              </w:rPr>
              <w:t>An MMF may acquire the units or shares of other MMF</w:t>
            </w:r>
            <w:r w:rsidR="00AA3F4A">
              <w:rPr>
                <w:rFonts w:ascii="Lato" w:hAnsi="Lato"/>
              </w:rPr>
              <w:t>s, provided that no more than 5</w:t>
            </w:r>
            <w:r w:rsidRPr="00484B71">
              <w:rPr>
                <w:rFonts w:ascii="Lato" w:hAnsi="Lato"/>
              </w:rPr>
              <w:t>% of its assets are invested in units or shares of a single MMF.</w:t>
            </w:r>
          </w:p>
        </w:tc>
      </w:tr>
      <w:tr w:rsidR="004B5991" w:rsidRPr="00226335" w14:paraId="33492800" w14:textId="77777777" w:rsidTr="007B13FE">
        <w:trPr>
          <w:gridAfter w:val="1"/>
          <w:wAfter w:w="11" w:type="dxa"/>
        </w:trPr>
        <w:tc>
          <w:tcPr>
            <w:tcW w:w="675" w:type="dxa"/>
            <w:tcBorders>
              <w:left w:val="single" w:sz="4" w:space="0" w:color="auto"/>
              <w:right w:val="single" w:sz="4" w:space="0" w:color="auto"/>
            </w:tcBorders>
          </w:tcPr>
          <w:p w14:paraId="0F26086D" w14:textId="77777777" w:rsidR="004B5991" w:rsidRPr="004E6794" w:rsidRDefault="004B599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411DE78F" w14:textId="77777777" w:rsidR="004B5991" w:rsidRPr="004E6794" w:rsidRDefault="004B5991" w:rsidP="004B5991">
            <w:pPr>
              <w:pStyle w:val="Header"/>
              <w:spacing w:line="240" w:lineRule="auto"/>
              <w:jc w:val="both"/>
              <w:rPr>
                <w:rFonts w:ascii="Lato" w:hAnsi="Lato"/>
              </w:rPr>
            </w:pPr>
          </w:p>
        </w:tc>
      </w:tr>
      <w:tr w:rsidR="004B5991" w:rsidRPr="00226335" w14:paraId="7FD9EC58" w14:textId="77777777" w:rsidTr="007B13FE">
        <w:trPr>
          <w:gridAfter w:val="1"/>
          <w:wAfter w:w="11" w:type="dxa"/>
        </w:trPr>
        <w:tc>
          <w:tcPr>
            <w:tcW w:w="675" w:type="dxa"/>
            <w:tcBorders>
              <w:left w:val="single" w:sz="4" w:space="0" w:color="auto"/>
              <w:right w:val="single" w:sz="4" w:space="0" w:color="auto"/>
            </w:tcBorders>
          </w:tcPr>
          <w:p w14:paraId="189053AE" w14:textId="77777777" w:rsidR="004B5991" w:rsidRPr="004E6794" w:rsidRDefault="004B5991" w:rsidP="004B5991">
            <w:pPr>
              <w:spacing w:line="240" w:lineRule="auto"/>
              <w:jc w:val="both"/>
              <w:rPr>
                <w:rFonts w:ascii="Lato" w:hAnsi="Lato"/>
                <w:b/>
                <w:bCs/>
              </w:rPr>
            </w:pPr>
            <w:r>
              <w:rPr>
                <w:rFonts w:ascii="Lato" w:hAnsi="Lato"/>
                <w:b/>
                <w:bCs/>
              </w:rPr>
              <w:t>3.4</w:t>
            </w:r>
          </w:p>
        </w:tc>
        <w:tc>
          <w:tcPr>
            <w:tcW w:w="9617" w:type="dxa"/>
            <w:tcBorders>
              <w:left w:val="single" w:sz="4" w:space="0" w:color="auto"/>
              <w:right w:val="single" w:sz="4" w:space="0" w:color="auto"/>
            </w:tcBorders>
          </w:tcPr>
          <w:p w14:paraId="73E6FF38" w14:textId="3A2FB888" w:rsidR="004B5991" w:rsidRPr="004E6794" w:rsidRDefault="007528CC" w:rsidP="004B5991">
            <w:pPr>
              <w:pStyle w:val="Header"/>
              <w:spacing w:line="240" w:lineRule="auto"/>
              <w:jc w:val="both"/>
              <w:rPr>
                <w:rFonts w:ascii="Lato" w:hAnsi="Lato"/>
              </w:rPr>
            </w:pPr>
            <w:r w:rsidRPr="007528CC">
              <w:rPr>
                <w:rFonts w:ascii="Lato" w:hAnsi="Lato"/>
              </w:rPr>
              <w:t>An MMF may, in aggr</w:t>
            </w:r>
            <w:r w:rsidR="00AA3F4A">
              <w:rPr>
                <w:rFonts w:ascii="Lato" w:hAnsi="Lato"/>
              </w:rPr>
              <w:t>egate, invest no more than 17</w:t>
            </w:r>
            <w:r w:rsidR="00746C87">
              <w:rPr>
                <w:rFonts w:ascii="Lato" w:hAnsi="Lato"/>
              </w:rPr>
              <w:t>.</w:t>
            </w:r>
            <w:r w:rsidR="00AA3F4A">
              <w:rPr>
                <w:rFonts w:ascii="Lato" w:hAnsi="Lato"/>
              </w:rPr>
              <w:t>5</w:t>
            </w:r>
            <w:r w:rsidRPr="007528CC">
              <w:rPr>
                <w:rFonts w:ascii="Lato" w:hAnsi="Lato"/>
              </w:rPr>
              <w:t>% of its assets in units or shares of other MMFs.</w:t>
            </w:r>
          </w:p>
        </w:tc>
      </w:tr>
      <w:tr w:rsidR="006E6DCB" w:rsidRPr="00226335" w14:paraId="36DD75AC" w14:textId="77777777" w:rsidTr="00862A00">
        <w:trPr>
          <w:gridAfter w:val="1"/>
          <w:wAfter w:w="11" w:type="dxa"/>
        </w:trPr>
        <w:tc>
          <w:tcPr>
            <w:tcW w:w="675" w:type="dxa"/>
            <w:tcBorders>
              <w:left w:val="single" w:sz="4" w:space="0" w:color="auto"/>
              <w:right w:val="single" w:sz="4" w:space="0" w:color="auto"/>
            </w:tcBorders>
          </w:tcPr>
          <w:p w14:paraId="1B6DC81A" w14:textId="77777777" w:rsidR="006E6DCB" w:rsidRDefault="006E6DCB"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5DA24FD5" w14:textId="77777777" w:rsidR="006E6DCB" w:rsidRPr="007528CC" w:rsidRDefault="006E6DCB" w:rsidP="004B5991">
            <w:pPr>
              <w:pStyle w:val="Header"/>
              <w:spacing w:line="240" w:lineRule="auto"/>
              <w:jc w:val="both"/>
              <w:rPr>
                <w:rFonts w:ascii="Lato" w:hAnsi="Lato"/>
              </w:rPr>
            </w:pPr>
          </w:p>
        </w:tc>
      </w:tr>
      <w:tr w:rsidR="006E6DCB" w:rsidRPr="00226335" w14:paraId="59CBF60E" w14:textId="77777777" w:rsidTr="00862A00">
        <w:trPr>
          <w:gridAfter w:val="1"/>
          <w:wAfter w:w="11" w:type="dxa"/>
        </w:trPr>
        <w:tc>
          <w:tcPr>
            <w:tcW w:w="675" w:type="dxa"/>
            <w:tcBorders>
              <w:left w:val="single" w:sz="4" w:space="0" w:color="auto"/>
              <w:right w:val="single" w:sz="4" w:space="0" w:color="auto"/>
            </w:tcBorders>
          </w:tcPr>
          <w:p w14:paraId="69BC3A37" w14:textId="539C7722" w:rsidR="006E6DCB" w:rsidRDefault="006E6DCB" w:rsidP="004B5991">
            <w:pPr>
              <w:spacing w:line="240" w:lineRule="auto"/>
              <w:jc w:val="both"/>
              <w:rPr>
                <w:rFonts w:ascii="Lato" w:hAnsi="Lato"/>
                <w:b/>
                <w:bCs/>
              </w:rPr>
            </w:pPr>
            <w:r>
              <w:rPr>
                <w:rFonts w:ascii="Lato" w:hAnsi="Lato"/>
                <w:b/>
                <w:bCs/>
              </w:rPr>
              <w:t>3.5</w:t>
            </w:r>
          </w:p>
        </w:tc>
        <w:tc>
          <w:tcPr>
            <w:tcW w:w="9617" w:type="dxa"/>
            <w:tcBorders>
              <w:left w:val="single" w:sz="4" w:space="0" w:color="auto"/>
              <w:right w:val="single" w:sz="4" w:space="0" w:color="auto"/>
            </w:tcBorders>
          </w:tcPr>
          <w:p w14:paraId="75124AC9" w14:textId="63F977DE" w:rsidR="006E6DCB" w:rsidRPr="007528CC" w:rsidRDefault="008B3EE4" w:rsidP="004B5991">
            <w:pPr>
              <w:pStyle w:val="Header"/>
              <w:spacing w:line="240" w:lineRule="auto"/>
              <w:jc w:val="both"/>
              <w:rPr>
                <w:rFonts w:ascii="Lato" w:hAnsi="Lato"/>
              </w:rPr>
            </w:pPr>
            <w:r w:rsidRPr="008B3EE4">
              <w:rPr>
                <w:rFonts w:ascii="Lato" w:hAnsi="Lato"/>
              </w:rPr>
              <w:t>Units or shares of other MMFs shall be eligible for investment by an MMF provided that all of the following conditions are fulfilled:</w:t>
            </w:r>
          </w:p>
        </w:tc>
      </w:tr>
      <w:tr w:rsidR="006E6DCB" w:rsidRPr="00226335" w14:paraId="2D82BECE" w14:textId="77777777" w:rsidTr="00862A00">
        <w:trPr>
          <w:gridAfter w:val="1"/>
          <w:wAfter w:w="11" w:type="dxa"/>
        </w:trPr>
        <w:tc>
          <w:tcPr>
            <w:tcW w:w="675" w:type="dxa"/>
            <w:tcBorders>
              <w:left w:val="single" w:sz="4" w:space="0" w:color="auto"/>
              <w:right w:val="single" w:sz="4" w:space="0" w:color="auto"/>
            </w:tcBorders>
          </w:tcPr>
          <w:p w14:paraId="1FED3332" w14:textId="77777777" w:rsidR="006E6DCB" w:rsidRDefault="006E6DCB"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69D1B7BD" w14:textId="13FCD19F" w:rsidR="006E6DCB" w:rsidRPr="007528CC" w:rsidRDefault="008B3EE4" w:rsidP="007B13FE">
            <w:pPr>
              <w:pStyle w:val="Header"/>
              <w:numPr>
                <w:ilvl w:val="0"/>
                <w:numId w:val="72"/>
              </w:numPr>
              <w:spacing w:line="240" w:lineRule="auto"/>
              <w:jc w:val="both"/>
              <w:rPr>
                <w:rFonts w:ascii="Lato" w:hAnsi="Lato"/>
              </w:rPr>
            </w:pPr>
            <w:r w:rsidRPr="008B3EE4">
              <w:rPr>
                <w:rFonts w:ascii="Lato" w:hAnsi="Lato"/>
              </w:rPr>
              <w:t xml:space="preserve">the targeted MMF is </w:t>
            </w:r>
            <w:r>
              <w:rPr>
                <w:rFonts w:ascii="Lato" w:hAnsi="Lato"/>
              </w:rPr>
              <w:t>authorised under the MMFR</w:t>
            </w:r>
            <w:r w:rsidRPr="008B3EE4">
              <w:rPr>
                <w:rFonts w:ascii="Lato" w:hAnsi="Lato"/>
              </w:rPr>
              <w:t>;</w:t>
            </w:r>
          </w:p>
        </w:tc>
      </w:tr>
      <w:tr w:rsidR="008105C1" w:rsidRPr="00226335" w14:paraId="495ACE0C" w14:textId="77777777" w:rsidTr="00862A00">
        <w:trPr>
          <w:gridAfter w:val="1"/>
          <w:wAfter w:w="11" w:type="dxa"/>
        </w:trPr>
        <w:tc>
          <w:tcPr>
            <w:tcW w:w="675" w:type="dxa"/>
            <w:tcBorders>
              <w:left w:val="single" w:sz="4" w:space="0" w:color="auto"/>
              <w:right w:val="single" w:sz="4" w:space="0" w:color="auto"/>
            </w:tcBorders>
          </w:tcPr>
          <w:p w14:paraId="5E0EB1D1" w14:textId="77777777" w:rsidR="008105C1" w:rsidRDefault="008105C1"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4C875C4" w14:textId="284C8167" w:rsidR="008105C1" w:rsidRPr="008B3EE4" w:rsidRDefault="008105C1" w:rsidP="008105C1">
            <w:pPr>
              <w:pStyle w:val="Header"/>
              <w:numPr>
                <w:ilvl w:val="0"/>
                <w:numId w:val="72"/>
              </w:numPr>
              <w:spacing w:line="240" w:lineRule="auto"/>
              <w:jc w:val="both"/>
              <w:rPr>
                <w:rFonts w:ascii="Lato" w:hAnsi="Lato"/>
              </w:rPr>
            </w:pPr>
            <w:r w:rsidRPr="008105C1">
              <w:rPr>
                <w:rFonts w:ascii="Lato" w:hAnsi="Lato"/>
              </w:rPr>
              <w:t>where the targeted MMF is managed, whether directly or under a delegation, by the same manager as that of the acquiring MMF or by any other company to which the manager of the acquiring MMF is linked by common management or control, or by a substantial direct or indirect holding, the manager of the targeted MMF, or that other company, is prohibited from charging subscription or redemption fees on account of the investment by the acquiring MMF in the units or shares of the targeted MMF;</w:t>
            </w:r>
          </w:p>
        </w:tc>
      </w:tr>
      <w:tr w:rsidR="006243B6" w:rsidRPr="00226335" w14:paraId="467DD2EE" w14:textId="77777777" w:rsidTr="00862A00">
        <w:trPr>
          <w:gridAfter w:val="1"/>
          <w:wAfter w:w="11" w:type="dxa"/>
        </w:trPr>
        <w:tc>
          <w:tcPr>
            <w:tcW w:w="675" w:type="dxa"/>
            <w:tcBorders>
              <w:left w:val="single" w:sz="4" w:space="0" w:color="auto"/>
              <w:right w:val="single" w:sz="4" w:space="0" w:color="auto"/>
            </w:tcBorders>
          </w:tcPr>
          <w:p w14:paraId="0F74A5B6" w14:textId="77777777" w:rsidR="006243B6" w:rsidRDefault="006243B6"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090601C0" w14:textId="77777777" w:rsidR="006243B6" w:rsidRDefault="006243B6" w:rsidP="00243858">
            <w:pPr>
              <w:pStyle w:val="Header"/>
              <w:spacing w:line="240" w:lineRule="auto"/>
              <w:jc w:val="both"/>
              <w:rPr>
                <w:rFonts w:ascii="Lato" w:hAnsi="Lato"/>
              </w:rPr>
            </w:pPr>
          </w:p>
        </w:tc>
      </w:tr>
      <w:tr w:rsidR="006243B6" w:rsidRPr="00226335" w14:paraId="5745F45E" w14:textId="77777777" w:rsidTr="00862A00">
        <w:trPr>
          <w:gridAfter w:val="1"/>
          <w:wAfter w:w="11" w:type="dxa"/>
        </w:trPr>
        <w:tc>
          <w:tcPr>
            <w:tcW w:w="675" w:type="dxa"/>
            <w:tcBorders>
              <w:left w:val="single" w:sz="4" w:space="0" w:color="auto"/>
              <w:right w:val="single" w:sz="4" w:space="0" w:color="auto"/>
            </w:tcBorders>
          </w:tcPr>
          <w:p w14:paraId="2B3EE65A" w14:textId="53C71485" w:rsidR="006243B6" w:rsidRDefault="00F7410A" w:rsidP="004B5991">
            <w:pPr>
              <w:spacing w:line="240" w:lineRule="auto"/>
              <w:jc w:val="both"/>
              <w:rPr>
                <w:rFonts w:ascii="Lato" w:hAnsi="Lato"/>
                <w:b/>
                <w:bCs/>
              </w:rPr>
            </w:pPr>
            <w:r>
              <w:rPr>
                <w:rFonts w:ascii="Lato" w:hAnsi="Lato"/>
                <w:b/>
                <w:bCs/>
              </w:rPr>
              <w:t>3.</w:t>
            </w:r>
            <w:r w:rsidR="00E771A9">
              <w:rPr>
                <w:rFonts w:ascii="Lato" w:hAnsi="Lato"/>
                <w:b/>
                <w:bCs/>
              </w:rPr>
              <w:t>6</w:t>
            </w:r>
          </w:p>
        </w:tc>
        <w:tc>
          <w:tcPr>
            <w:tcW w:w="9617" w:type="dxa"/>
            <w:tcBorders>
              <w:left w:val="single" w:sz="4" w:space="0" w:color="auto"/>
              <w:right w:val="single" w:sz="4" w:space="0" w:color="auto"/>
            </w:tcBorders>
          </w:tcPr>
          <w:p w14:paraId="2717CDFC" w14:textId="46D26739" w:rsidR="006243B6" w:rsidRDefault="00F7410A" w:rsidP="00243858">
            <w:pPr>
              <w:pStyle w:val="Header"/>
              <w:spacing w:line="240" w:lineRule="auto"/>
              <w:jc w:val="both"/>
              <w:rPr>
                <w:rFonts w:ascii="Lato" w:hAnsi="Lato"/>
              </w:rPr>
            </w:pPr>
            <w:r w:rsidRPr="00F7410A">
              <w:rPr>
                <w:rFonts w:ascii="Lato" w:hAnsi="Lato"/>
              </w:rPr>
              <w:t>Short-term MMFs may only invest in units or shares of other short-term MMFs.</w:t>
            </w:r>
          </w:p>
        </w:tc>
      </w:tr>
      <w:tr w:rsidR="00F7410A" w:rsidRPr="00226335" w14:paraId="7019B12F" w14:textId="77777777" w:rsidTr="00862A00">
        <w:trPr>
          <w:gridAfter w:val="1"/>
          <w:wAfter w:w="11" w:type="dxa"/>
        </w:trPr>
        <w:tc>
          <w:tcPr>
            <w:tcW w:w="675" w:type="dxa"/>
            <w:tcBorders>
              <w:left w:val="single" w:sz="4" w:space="0" w:color="auto"/>
              <w:right w:val="single" w:sz="4" w:space="0" w:color="auto"/>
            </w:tcBorders>
          </w:tcPr>
          <w:p w14:paraId="0847E9D1" w14:textId="77777777" w:rsidR="00F7410A" w:rsidRDefault="00F7410A"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49E1A23C" w14:textId="77777777" w:rsidR="00F7410A" w:rsidRPr="00F7410A" w:rsidRDefault="00F7410A" w:rsidP="00243858">
            <w:pPr>
              <w:pStyle w:val="Header"/>
              <w:spacing w:line="240" w:lineRule="auto"/>
              <w:jc w:val="both"/>
              <w:rPr>
                <w:rFonts w:ascii="Lato" w:hAnsi="Lato"/>
              </w:rPr>
            </w:pPr>
          </w:p>
        </w:tc>
      </w:tr>
      <w:tr w:rsidR="00F7410A" w:rsidRPr="00226335" w14:paraId="3883F419" w14:textId="77777777" w:rsidTr="00862A00">
        <w:trPr>
          <w:gridAfter w:val="1"/>
          <w:wAfter w:w="11" w:type="dxa"/>
        </w:trPr>
        <w:tc>
          <w:tcPr>
            <w:tcW w:w="675" w:type="dxa"/>
            <w:tcBorders>
              <w:left w:val="single" w:sz="4" w:space="0" w:color="auto"/>
              <w:right w:val="single" w:sz="4" w:space="0" w:color="auto"/>
            </w:tcBorders>
          </w:tcPr>
          <w:p w14:paraId="4FBD0F43" w14:textId="176B075D" w:rsidR="00F7410A" w:rsidRDefault="00F7410A" w:rsidP="004B5991">
            <w:pPr>
              <w:spacing w:line="240" w:lineRule="auto"/>
              <w:jc w:val="both"/>
              <w:rPr>
                <w:rFonts w:ascii="Lato" w:hAnsi="Lato"/>
                <w:b/>
                <w:bCs/>
              </w:rPr>
            </w:pPr>
            <w:r>
              <w:rPr>
                <w:rFonts w:ascii="Lato" w:hAnsi="Lato"/>
                <w:b/>
                <w:bCs/>
              </w:rPr>
              <w:t>3.</w:t>
            </w:r>
            <w:r w:rsidR="00E771A9">
              <w:rPr>
                <w:rFonts w:ascii="Lato" w:hAnsi="Lato"/>
                <w:b/>
                <w:bCs/>
              </w:rPr>
              <w:t>7</w:t>
            </w:r>
          </w:p>
        </w:tc>
        <w:tc>
          <w:tcPr>
            <w:tcW w:w="9617" w:type="dxa"/>
            <w:tcBorders>
              <w:left w:val="single" w:sz="4" w:space="0" w:color="auto"/>
              <w:right w:val="single" w:sz="4" w:space="0" w:color="auto"/>
            </w:tcBorders>
          </w:tcPr>
          <w:p w14:paraId="22FF559C" w14:textId="3F41E61C" w:rsidR="00F7410A" w:rsidRPr="00F7410A" w:rsidRDefault="00F7410A" w:rsidP="00243858">
            <w:pPr>
              <w:pStyle w:val="Header"/>
              <w:spacing w:line="240" w:lineRule="auto"/>
              <w:jc w:val="both"/>
              <w:rPr>
                <w:rFonts w:ascii="Lato" w:hAnsi="Lato"/>
              </w:rPr>
            </w:pPr>
            <w:r w:rsidRPr="00F7410A">
              <w:rPr>
                <w:rFonts w:ascii="Lato" w:hAnsi="Lato"/>
              </w:rPr>
              <w:t>Standard MMFs may invest in units or shares of short-term MMFs and standard MMFs.</w:t>
            </w:r>
          </w:p>
        </w:tc>
      </w:tr>
      <w:tr w:rsidR="00F7410A" w:rsidRPr="00226335" w14:paraId="6A788B43" w14:textId="77777777" w:rsidTr="00862A00">
        <w:trPr>
          <w:gridAfter w:val="1"/>
          <w:wAfter w:w="11" w:type="dxa"/>
        </w:trPr>
        <w:tc>
          <w:tcPr>
            <w:tcW w:w="675" w:type="dxa"/>
            <w:tcBorders>
              <w:left w:val="single" w:sz="4" w:space="0" w:color="auto"/>
              <w:right w:val="single" w:sz="4" w:space="0" w:color="auto"/>
            </w:tcBorders>
          </w:tcPr>
          <w:p w14:paraId="3CBE8BC9" w14:textId="77777777" w:rsidR="00F7410A" w:rsidRDefault="00F7410A"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75056174" w14:textId="77777777" w:rsidR="00F7410A" w:rsidRPr="00F7410A" w:rsidRDefault="00F7410A" w:rsidP="00243858">
            <w:pPr>
              <w:pStyle w:val="Header"/>
              <w:spacing w:line="240" w:lineRule="auto"/>
              <w:jc w:val="both"/>
              <w:rPr>
                <w:rFonts w:ascii="Lato" w:hAnsi="Lato"/>
              </w:rPr>
            </w:pPr>
          </w:p>
        </w:tc>
      </w:tr>
      <w:tr w:rsidR="006243B6" w:rsidRPr="00226335" w14:paraId="40C3C823" w14:textId="77777777" w:rsidTr="00862A00">
        <w:trPr>
          <w:gridAfter w:val="1"/>
          <w:wAfter w:w="11" w:type="dxa"/>
        </w:trPr>
        <w:tc>
          <w:tcPr>
            <w:tcW w:w="675" w:type="dxa"/>
            <w:tcBorders>
              <w:left w:val="single" w:sz="4" w:space="0" w:color="auto"/>
              <w:right w:val="single" w:sz="4" w:space="0" w:color="auto"/>
            </w:tcBorders>
          </w:tcPr>
          <w:p w14:paraId="1D02DB33" w14:textId="77777777" w:rsidR="006243B6" w:rsidRDefault="006243B6" w:rsidP="004B5991">
            <w:pPr>
              <w:spacing w:line="240" w:lineRule="auto"/>
              <w:jc w:val="both"/>
              <w:rPr>
                <w:rFonts w:ascii="Lato" w:hAnsi="Lato"/>
                <w:b/>
                <w:bCs/>
              </w:rPr>
            </w:pPr>
          </w:p>
        </w:tc>
        <w:tc>
          <w:tcPr>
            <w:tcW w:w="9617" w:type="dxa"/>
            <w:tcBorders>
              <w:left w:val="single" w:sz="4" w:space="0" w:color="auto"/>
              <w:right w:val="single" w:sz="4" w:space="0" w:color="auto"/>
            </w:tcBorders>
          </w:tcPr>
          <w:p w14:paraId="119FF697" w14:textId="77777777" w:rsidR="006243B6" w:rsidRDefault="006243B6" w:rsidP="00243858">
            <w:pPr>
              <w:pStyle w:val="Header"/>
              <w:spacing w:line="240" w:lineRule="auto"/>
              <w:jc w:val="both"/>
              <w:rPr>
                <w:rFonts w:ascii="Lato" w:hAnsi="Lato"/>
              </w:rPr>
            </w:pPr>
          </w:p>
        </w:tc>
      </w:tr>
      <w:tr w:rsidR="004B5991" w:rsidRPr="00226335" w14:paraId="033649C3" w14:textId="77777777" w:rsidTr="007B13FE">
        <w:tc>
          <w:tcPr>
            <w:tcW w:w="675" w:type="dxa"/>
            <w:tcBorders>
              <w:left w:val="single" w:sz="4" w:space="0" w:color="auto"/>
              <w:bottom w:val="single" w:sz="4" w:space="0" w:color="auto"/>
              <w:right w:val="single" w:sz="4" w:space="0" w:color="auto"/>
            </w:tcBorders>
          </w:tcPr>
          <w:p w14:paraId="42376BC6" w14:textId="77777777" w:rsidR="004B5991" w:rsidRPr="004E6794" w:rsidRDefault="004B5991" w:rsidP="004B5991">
            <w:pPr>
              <w:spacing w:line="240" w:lineRule="auto"/>
              <w:jc w:val="both"/>
              <w:rPr>
                <w:rFonts w:ascii="Lato" w:hAnsi="Lato"/>
              </w:rPr>
            </w:pPr>
          </w:p>
        </w:tc>
        <w:tc>
          <w:tcPr>
            <w:tcW w:w="9628" w:type="dxa"/>
            <w:gridSpan w:val="2"/>
            <w:tcBorders>
              <w:left w:val="single" w:sz="4" w:space="0" w:color="auto"/>
              <w:bottom w:val="single" w:sz="4" w:space="0" w:color="auto"/>
              <w:right w:val="single" w:sz="4" w:space="0" w:color="auto"/>
            </w:tcBorders>
          </w:tcPr>
          <w:p w14:paraId="632E5315" w14:textId="77777777" w:rsidR="004B5991" w:rsidRPr="004E6794" w:rsidRDefault="004B5991" w:rsidP="004B5991">
            <w:pPr>
              <w:pStyle w:val="TI"/>
              <w:tabs>
                <w:tab w:val="clear" w:pos="432"/>
                <w:tab w:val="clear" w:pos="864"/>
                <w:tab w:val="clear" w:pos="1296"/>
                <w:tab w:val="clear" w:pos="1728"/>
                <w:tab w:val="clear" w:pos="2448"/>
              </w:tabs>
              <w:spacing w:after="0"/>
              <w:ind w:left="0" w:firstLine="0"/>
              <w:jc w:val="both"/>
              <w:rPr>
                <w:rFonts w:ascii="Lato" w:hAnsi="Lato"/>
                <w:color w:val="auto"/>
                <w:sz w:val="22"/>
                <w:lang w:val="en-IE"/>
              </w:rPr>
            </w:pPr>
          </w:p>
        </w:tc>
      </w:tr>
    </w:tbl>
    <w:p w14:paraId="54B87E5A" w14:textId="77777777" w:rsidR="00511B3E" w:rsidRPr="004E6794" w:rsidRDefault="00511B3E" w:rsidP="00DA1668">
      <w:pPr>
        <w:spacing w:line="240" w:lineRule="auto"/>
        <w:ind w:left="720"/>
        <w:jc w:val="both"/>
        <w:rPr>
          <w:rFonts w:ascii="Lato" w:hAnsi="Lato"/>
        </w:rPr>
      </w:pPr>
    </w:p>
    <w:p w14:paraId="44D42B99" w14:textId="77777777" w:rsidR="00511B3E" w:rsidRPr="004E6794" w:rsidRDefault="00511B3E" w:rsidP="00DA1668">
      <w:pPr>
        <w:pStyle w:val="Title"/>
        <w:ind w:left="720"/>
        <w:jc w:val="both"/>
        <w:rPr>
          <w:rFonts w:ascii="Lato" w:hAnsi="Lato"/>
          <w:sz w:val="22"/>
        </w:rPr>
        <w:sectPr w:rsidR="00511B3E" w:rsidRPr="004E6794" w:rsidSect="002D06AD">
          <w:pgSz w:w="11899" w:h="16838"/>
          <w:pgMar w:top="709" w:right="842" w:bottom="1276" w:left="426" w:header="142" w:footer="162" w:gutter="0"/>
          <w:cols w:space="708"/>
          <w:titlePg/>
        </w:sectPr>
      </w:pPr>
    </w:p>
    <w:p w14:paraId="038002DB" w14:textId="77777777" w:rsidR="006518A3" w:rsidRPr="00D45981" w:rsidRDefault="006518A3" w:rsidP="006518A3">
      <w:pPr>
        <w:pStyle w:val="Noparagraphstyle"/>
        <w:suppressAutoHyphens/>
        <w:ind w:left="1553" w:firstLine="607"/>
        <w:rPr>
          <w:color w:val="FFFFFF"/>
          <w:sz w:val="16"/>
          <w:szCs w:val="16"/>
        </w:rPr>
      </w:pPr>
      <w:r>
        <w:rPr>
          <w:rFonts w:ascii="Lato" w:hAnsi="Lato"/>
          <w:noProof/>
          <w:lang w:val="en-IE" w:eastAsia="en-IE"/>
        </w:rPr>
        <w:lastRenderedPageBreak/>
        <w:drawing>
          <wp:anchor distT="0" distB="0" distL="114300" distR="114300" simplePos="0" relativeHeight="251664896" behindDoc="1" locked="0" layoutInCell="1" allowOverlap="1" wp14:anchorId="1241E357" wp14:editId="04BB4BC3">
            <wp:simplePos x="0" y="0"/>
            <wp:positionH relativeFrom="page">
              <wp:align>left</wp:align>
            </wp:positionH>
            <wp:positionV relativeFrom="paragraph">
              <wp:posOffset>-902970</wp:posOffset>
            </wp:positionV>
            <wp:extent cx="7562215" cy="1076325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215"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A36B7" w14:textId="77777777" w:rsidR="006518A3" w:rsidRPr="004E6794" w:rsidRDefault="006518A3" w:rsidP="004E6794">
      <w:pPr>
        <w:pStyle w:val="Noparagraphstyle"/>
        <w:suppressAutoHyphens/>
        <w:spacing w:after="227"/>
        <w:jc w:val="center"/>
        <w:rPr>
          <w:rFonts w:ascii="Lato" w:hAnsi="Lato" w:cs="HelveticaNeueLTStd-Lt"/>
          <w:color w:val="FFFFFF"/>
          <w:sz w:val="20"/>
          <w:szCs w:val="20"/>
        </w:rPr>
      </w:pPr>
      <w:r w:rsidRPr="004E6794">
        <w:rPr>
          <w:rStyle w:val="HelvBold"/>
          <w:rFonts w:ascii="Lato" w:hAnsi="Lato" w:cs="HelveticaNeueLTStd-Bd"/>
          <w:bCs/>
          <w:color w:val="FFFFFF"/>
          <w:sz w:val="20"/>
          <w:szCs w:val="20"/>
        </w:rPr>
        <w:t xml:space="preserve">T </w:t>
      </w:r>
      <w:r w:rsidRPr="004E6794">
        <w:rPr>
          <w:rFonts w:ascii="Lato" w:hAnsi="Lato" w:cs="HelveticaNeueLTStd-Lt"/>
          <w:color w:val="FFFFFF"/>
          <w:sz w:val="20"/>
          <w:szCs w:val="20"/>
        </w:rPr>
        <w:t xml:space="preserve">+353 1 224 6000    </w:t>
      </w:r>
      <w:r w:rsidR="0051515D" w:rsidRPr="004E6794">
        <w:rPr>
          <w:rFonts w:ascii="Lato" w:hAnsi="Lato" w:cs="HelveticaNeueLTStd-Lt"/>
          <w:color w:val="FFFFFF"/>
          <w:sz w:val="20"/>
          <w:szCs w:val="20"/>
        </w:rPr>
        <w:t xml:space="preserve">   </w:t>
      </w:r>
      <w:r w:rsidRPr="004E6794">
        <w:rPr>
          <w:rFonts w:ascii="Lato" w:hAnsi="Lato" w:cs="HelveticaNeueLTStd-Lt"/>
          <w:color w:val="FFFFFF"/>
          <w:sz w:val="20"/>
          <w:szCs w:val="20"/>
        </w:rPr>
        <w:t xml:space="preserve"> </w:t>
      </w:r>
      <w:r w:rsidRPr="004E6794">
        <w:rPr>
          <w:rFonts w:ascii="Lato" w:hAnsi="Lato" w:cs="HelveticaNeueLTStd-Lt"/>
          <w:color w:val="FFFFFF"/>
          <w:sz w:val="20"/>
          <w:szCs w:val="20"/>
          <w:u w:val="single"/>
        </w:rPr>
        <w:t>www.centralbank.ie</w:t>
      </w:r>
      <w:r w:rsidRPr="004E6794">
        <w:rPr>
          <w:rFonts w:ascii="Lato" w:hAnsi="Lato" w:cs="HelveticaNeueLTStd-Lt"/>
          <w:color w:val="FFFFFF"/>
          <w:sz w:val="20"/>
          <w:szCs w:val="20"/>
        </w:rPr>
        <w:t xml:space="preserve">  </w:t>
      </w:r>
      <w:r w:rsidR="00E34FAC" w:rsidRPr="004E6794">
        <w:rPr>
          <w:rFonts w:ascii="Lato" w:hAnsi="Lato" w:cs="HelveticaNeueLTStd-Lt"/>
          <w:color w:val="FFFFFF"/>
          <w:sz w:val="20"/>
          <w:szCs w:val="20"/>
        </w:rPr>
        <w:tab/>
      </w:r>
      <w:r w:rsidRPr="004E6794">
        <w:rPr>
          <w:rFonts w:ascii="Lato" w:hAnsi="Lato" w:cs="HelveticaNeueLTStd-Lt"/>
          <w:color w:val="FFFFFF"/>
          <w:sz w:val="20"/>
          <w:szCs w:val="20"/>
        </w:rPr>
        <w:t>AIFauthorisations@centralbank.ie</w:t>
      </w:r>
    </w:p>
    <w:p w14:paraId="7A11FC4B" w14:textId="77777777" w:rsidR="004A35A6" w:rsidRPr="004E6794" w:rsidRDefault="004A35A6" w:rsidP="00DA1668">
      <w:pPr>
        <w:spacing w:line="240" w:lineRule="auto"/>
        <w:ind w:left="720"/>
        <w:jc w:val="both"/>
        <w:rPr>
          <w:rFonts w:ascii="Lato" w:hAnsi="Lato"/>
        </w:rPr>
      </w:pPr>
    </w:p>
    <w:p w14:paraId="1F08C614" w14:textId="77777777" w:rsidR="004A35A6" w:rsidRPr="004E6794" w:rsidRDefault="004A35A6" w:rsidP="00DA1668">
      <w:pPr>
        <w:jc w:val="both"/>
        <w:rPr>
          <w:rFonts w:ascii="Lato" w:hAnsi="Lato"/>
        </w:rPr>
      </w:pPr>
    </w:p>
    <w:p w14:paraId="2EA3B86C" w14:textId="77777777" w:rsidR="00511B3E" w:rsidRPr="004E6794" w:rsidRDefault="00E34FAC">
      <w:pPr>
        <w:tabs>
          <w:tab w:val="left" w:pos="3060"/>
        </w:tabs>
        <w:jc w:val="both"/>
        <w:rPr>
          <w:rFonts w:ascii="Lato" w:hAnsi="Lato"/>
        </w:rPr>
      </w:pPr>
      <w:r>
        <w:rPr>
          <w:rFonts w:ascii="Lato" w:hAnsi="Lato" w:cs="Times-Roman"/>
          <w:noProof/>
          <w:color w:val="000000"/>
          <w:sz w:val="24"/>
          <w:szCs w:val="24"/>
          <w:lang w:val="en-IE" w:eastAsia="en-IE"/>
        </w:rPr>
        <mc:AlternateContent>
          <mc:Choice Requires="wps">
            <w:drawing>
              <wp:anchor distT="0" distB="0" distL="114300" distR="114300" simplePos="0" relativeHeight="251665920" behindDoc="0" locked="0" layoutInCell="1" allowOverlap="1" wp14:anchorId="20563270" wp14:editId="25D9A7D0">
                <wp:simplePos x="0" y="0"/>
                <wp:positionH relativeFrom="column">
                  <wp:posOffset>-2181225</wp:posOffset>
                </wp:positionH>
                <wp:positionV relativeFrom="paragraph">
                  <wp:posOffset>7961630</wp:posOffset>
                </wp:positionV>
                <wp:extent cx="4457700" cy="914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766E" w14:textId="77777777" w:rsidR="00053C02" w:rsidRPr="004E6794" w:rsidRDefault="00053C02"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053C02" w:rsidRPr="004E6794" w:rsidRDefault="00053C02"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053C02" w:rsidRPr="004E6794" w:rsidRDefault="00053C02" w:rsidP="00E34FAC">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3270" id="Text Box 17" o:spid="_x0000_s1027" type="#_x0000_t202" style="position:absolute;left:0;text-align:left;margin-left:-171.75pt;margin-top:626.9pt;width:351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fm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z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" filled="f" stroked="f">
                <v:textbox>
                  <w:txbxContent>
                    <w:p w14:paraId="0A5E766E" w14:textId="77777777" w:rsidR="00053C02" w:rsidRPr="004E6794" w:rsidRDefault="00053C02"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053C02" w:rsidRPr="004E6794" w:rsidRDefault="00053C02"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053C02" w:rsidRPr="004E6794" w:rsidRDefault="00053C02" w:rsidP="00E34FAC">
                      <w:pPr>
                        <w:pStyle w:val="Noparagraphstyle"/>
                        <w:suppressAutoHyphens/>
                        <w:ind w:left="113"/>
                        <w:rPr>
                          <w:color w:val="FFFFFF"/>
                        </w:rPr>
                      </w:pPr>
                    </w:p>
                  </w:txbxContent>
                </v:textbox>
              </v:shape>
            </w:pict>
          </mc:Fallback>
        </mc:AlternateContent>
      </w:r>
    </w:p>
    <w:sectPr w:rsidR="00511B3E" w:rsidRPr="004E6794" w:rsidSect="009B70BB">
      <w:headerReference w:type="even" r:id="rId22"/>
      <w:headerReference w:type="default" r:id="rId23"/>
      <w:footerReference w:type="default" r:id="rId24"/>
      <w:headerReference w:type="first" r:id="rId25"/>
      <w:pgSz w:w="11904" w:h="16834"/>
      <w:pgMar w:top="1440" w:right="56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777C" w14:textId="77777777" w:rsidR="00053C02" w:rsidRDefault="00053C02">
      <w:pPr>
        <w:spacing w:line="240" w:lineRule="auto"/>
      </w:pPr>
      <w:r>
        <w:separator/>
      </w:r>
    </w:p>
  </w:endnote>
  <w:endnote w:type="continuationSeparator" w:id="0">
    <w:p w14:paraId="57CB5A2C" w14:textId="77777777" w:rsidR="00053C02" w:rsidRDefault="00053C02">
      <w:pPr>
        <w:spacing w:line="240" w:lineRule="auto"/>
      </w:pPr>
      <w:r>
        <w:continuationSeparator/>
      </w:r>
    </w:p>
  </w:endnote>
  <w:endnote w:type="continuationNotice" w:id="1">
    <w:p w14:paraId="0E8AB460" w14:textId="77777777" w:rsidR="00053C02" w:rsidRDefault="00053C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4677" w14:textId="77777777" w:rsidR="00053C02" w:rsidRDefault="00053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D4A7A" w14:textId="77777777" w:rsidR="00053C02" w:rsidRDefault="00053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339F" w14:textId="77777777" w:rsidR="00053C02" w:rsidRDefault="00053C02" w:rsidP="00D563A6">
    <w:pPr>
      <w:pStyle w:val="Footer"/>
      <w:tabs>
        <w:tab w:val="clear" w:pos="4320"/>
        <w:tab w:val="clear" w:pos="8640"/>
        <w:tab w:val="left" w:pos="8931"/>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9439" w14:textId="77777777" w:rsidR="00053C02" w:rsidRDefault="00053C02" w:rsidP="00D563A6">
    <w:pPr>
      <w:pStyle w:val="Footer"/>
      <w:tabs>
        <w:tab w:val="clear" w:pos="4320"/>
        <w:tab w:val="clear" w:pos="8640"/>
        <w:tab w:val="left" w:pos="1560"/>
      </w:tabs>
      <w:rPr>
        <w:rFonts w:ascii="Times New Roman" w:hAnsi="Times New Roman"/>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3E8D" w14:textId="77777777" w:rsidR="00053C02" w:rsidRDefault="00053C02">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7C81" w14:textId="77777777" w:rsidR="00053C02" w:rsidRDefault="00053C02">
      <w:pPr>
        <w:spacing w:line="240" w:lineRule="auto"/>
      </w:pPr>
      <w:r>
        <w:separator/>
      </w:r>
    </w:p>
  </w:footnote>
  <w:footnote w:type="continuationSeparator" w:id="0">
    <w:p w14:paraId="5F898C40" w14:textId="77777777" w:rsidR="00053C02" w:rsidRDefault="00053C02">
      <w:pPr>
        <w:spacing w:line="240" w:lineRule="auto"/>
      </w:pPr>
      <w:r>
        <w:continuationSeparator/>
      </w:r>
    </w:p>
  </w:footnote>
  <w:footnote w:type="continuationNotice" w:id="1">
    <w:p w14:paraId="4A7ABB7A" w14:textId="77777777" w:rsidR="00053C02" w:rsidRDefault="00053C0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369D" w14:textId="2753920E" w:rsidR="00053C02" w:rsidRPr="00EF5332" w:rsidRDefault="005B47FF" w:rsidP="005B47FF">
    <w:pPr>
      <w:pStyle w:val="Header"/>
    </w:pPr>
    <w:fldSimple w:instr=" DOCPROPERTY bjHeaderEvenPageDocProperty \* MERGEFORMAT " w:fldLock="1">
      <w:r w:rsidRPr="005B47FF">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CC3A" w14:textId="4C6A3372" w:rsidR="00053C02" w:rsidRDefault="005B47FF" w:rsidP="005B47FF">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fldSimple w:instr=" DOCPROPERTY bjHeaderBothDocProperty \* MERGEFORMAT " w:fldLock="1">
      <w:r w:rsidRPr="005B47FF">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053C02" w:rsidRPr="00C46589" w14:paraId="7006F43B" w14:textId="77777777" w:rsidTr="00F23B21">
      <w:tc>
        <w:tcPr>
          <w:tcW w:w="1668" w:type="dxa"/>
          <w:tcBorders>
            <w:right w:val="single" w:sz="4" w:space="0" w:color="5B9BD5"/>
          </w:tcBorders>
          <w:shd w:val="clear" w:color="auto" w:fill="auto"/>
        </w:tcPr>
        <w:p w14:paraId="22C488A4" w14:textId="77777777" w:rsidR="00053C02" w:rsidRPr="00C46589" w:rsidRDefault="00053C02" w:rsidP="00BE710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8BABE90" w14:textId="77777777" w:rsidR="00053C02" w:rsidRPr="00C46589" w:rsidRDefault="00053C02" w:rsidP="004E6794">
          <w:pPr>
            <w:pStyle w:val="Header"/>
            <w:jc w:val="center"/>
            <w:rPr>
              <w:rFonts w:ascii="Lato" w:eastAsia="Lato" w:hAnsi="Lato"/>
              <w:sz w:val="14"/>
              <w:szCs w:val="14"/>
            </w:rPr>
          </w:pPr>
          <w:r>
            <w:rPr>
              <w:rFonts w:ascii="Lato" w:eastAsia="Lato" w:hAnsi="Lato"/>
              <w:sz w:val="14"/>
              <w:szCs w:val="14"/>
            </w:rPr>
            <w:t>UCITS Application Form Section 2 Prospectus December 2017</w:t>
          </w:r>
        </w:p>
      </w:tc>
      <w:tc>
        <w:tcPr>
          <w:tcW w:w="906" w:type="dxa"/>
          <w:tcBorders>
            <w:left w:val="single" w:sz="4" w:space="0" w:color="5B9BD5"/>
          </w:tcBorders>
          <w:shd w:val="clear" w:color="auto" w:fill="auto"/>
        </w:tcPr>
        <w:p w14:paraId="5F2D82FC" w14:textId="77777777" w:rsidR="00053C02" w:rsidRPr="00C46589" w:rsidRDefault="00053C02">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Pr>
              <w:rFonts w:ascii="Lato" w:eastAsia="Lato" w:hAnsi="Lato"/>
              <w:noProof/>
              <w:sz w:val="14"/>
              <w:szCs w:val="14"/>
            </w:rPr>
            <w:t>3</w:t>
          </w:r>
          <w:r w:rsidRPr="00665CF9">
            <w:rPr>
              <w:rFonts w:ascii="Lato" w:eastAsia="Lato" w:hAnsi="Lato"/>
              <w:noProof/>
              <w:sz w:val="14"/>
              <w:szCs w:val="14"/>
            </w:rPr>
            <w:fldChar w:fldCharType="end"/>
          </w:r>
        </w:p>
      </w:tc>
    </w:tr>
  </w:tbl>
  <w:p w14:paraId="55D470D8" w14:textId="77777777" w:rsidR="00053C02" w:rsidRDefault="00053C02" w:rsidP="004E6794">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6A36" w14:textId="20B12630" w:rsidR="00053C02" w:rsidRDefault="005B47FF" w:rsidP="005B47FF">
    <w:pPr>
      <w:pStyle w:val="Header"/>
      <w:ind w:left="-1701"/>
    </w:pPr>
    <w:fldSimple w:instr=" DOCPROPERTY bjHeaderFirstPageDocProperty \* MERGEFORMAT " w:fldLock="1">
      <w:r w:rsidRPr="005B47FF">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053C02" w:rsidRPr="00C46589" w14:paraId="039AE328" w14:textId="77777777" w:rsidTr="00075D47">
      <w:tc>
        <w:tcPr>
          <w:tcW w:w="1668" w:type="dxa"/>
          <w:tcBorders>
            <w:right w:val="single" w:sz="4" w:space="0" w:color="5B9BD5"/>
          </w:tcBorders>
          <w:shd w:val="clear" w:color="auto" w:fill="auto"/>
        </w:tcPr>
        <w:p w14:paraId="07184F58" w14:textId="77777777" w:rsidR="00053C02" w:rsidRPr="00C46589" w:rsidRDefault="00053C02" w:rsidP="00EF082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AA89F83" w14:textId="081C60EF" w:rsidR="00053C02" w:rsidRPr="00C46589" w:rsidRDefault="00053C02" w:rsidP="002F284C">
          <w:pPr>
            <w:pStyle w:val="Header"/>
            <w:jc w:val="center"/>
            <w:rPr>
              <w:rFonts w:ascii="Lato" w:eastAsia="Lato" w:hAnsi="Lato"/>
              <w:sz w:val="14"/>
              <w:szCs w:val="14"/>
            </w:rPr>
          </w:pPr>
          <w:r>
            <w:rPr>
              <w:rFonts w:ascii="Lato" w:eastAsia="Lato" w:hAnsi="Lato"/>
              <w:sz w:val="14"/>
              <w:szCs w:val="14"/>
            </w:rPr>
            <w:t>Money Market Fund Regulation Application Form Section 2 Prospectus 2018</w:t>
          </w:r>
        </w:p>
      </w:tc>
      <w:tc>
        <w:tcPr>
          <w:tcW w:w="906" w:type="dxa"/>
          <w:tcBorders>
            <w:left w:val="single" w:sz="4" w:space="0" w:color="5B9BD5"/>
          </w:tcBorders>
          <w:shd w:val="clear" w:color="auto" w:fill="auto"/>
        </w:tcPr>
        <w:p w14:paraId="41FC3570" w14:textId="10644735" w:rsidR="00053C02" w:rsidRPr="00C46589" w:rsidRDefault="00053C02" w:rsidP="00EF082F">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5B47FF">
            <w:rPr>
              <w:rFonts w:ascii="Lato" w:eastAsia="Lato" w:hAnsi="Lato"/>
              <w:noProof/>
              <w:sz w:val="14"/>
              <w:szCs w:val="14"/>
            </w:rPr>
            <w:t>1</w:t>
          </w:r>
          <w:r w:rsidRPr="00665CF9">
            <w:rPr>
              <w:rFonts w:ascii="Lato" w:eastAsia="Lato" w:hAnsi="Lato"/>
              <w:noProof/>
              <w:sz w:val="14"/>
              <w:szCs w:val="14"/>
            </w:rPr>
            <w:fldChar w:fldCharType="end"/>
          </w:r>
        </w:p>
      </w:tc>
    </w:tr>
  </w:tbl>
  <w:p w14:paraId="6809245C" w14:textId="77777777" w:rsidR="00053C02" w:rsidRDefault="00053C02">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A9C7" w14:textId="7D3F9497" w:rsidR="00053C02" w:rsidRDefault="005B47FF" w:rsidP="005B47FF">
    <w:pPr>
      <w:pStyle w:val="Header"/>
    </w:pPr>
    <w:fldSimple w:instr=" DOCPROPERTY bjHeaderEvenPageDocProperty \* MERGEFORMAT " w:fldLock="1">
      <w:r w:rsidRPr="005B47FF">
        <w:rPr>
          <w:rFonts w:ascii="Times New Roman" w:hAnsi="Times New Roman"/>
          <w:color w:val="000000"/>
          <w:sz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6E73" w14:textId="74B3F401" w:rsidR="00053C02" w:rsidRDefault="005B47FF" w:rsidP="005B47FF">
    <w:pPr>
      <w:pStyle w:val="Header"/>
      <w:pBdr>
        <w:top w:val="single" w:sz="2" w:space="3" w:color="FFFFFF"/>
        <w:left w:val="single" w:sz="2" w:space="3" w:color="FFFFFF"/>
        <w:bottom w:val="single" w:sz="2" w:space="4" w:color="FFFFFF"/>
        <w:right w:val="single" w:sz="2" w:space="3" w:color="FFFFFF"/>
      </w:pBdr>
      <w:tabs>
        <w:tab w:val="clear" w:pos="4320"/>
        <w:tab w:val="left" w:pos="4635"/>
        <w:tab w:val="left" w:pos="5808"/>
      </w:tabs>
    </w:pPr>
    <w:fldSimple w:instr=" DOCPROPERTY bjHeaderBothDocProperty \* MERGEFORMAT " w:fldLock="1">
      <w:r w:rsidRPr="005B47FF">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053C02" w:rsidRPr="00C46589" w14:paraId="2F999738" w14:textId="77777777" w:rsidTr="00F23B21">
      <w:tc>
        <w:tcPr>
          <w:tcW w:w="1668" w:type="dxa"/>
          <w:tcBorders>
            <w:right w:val="single" w:sz="4" w:space="0" w:color="5B9BD5"/>
          </w:tcBorders>
          <w:shd w:val="clear" w:color="auto" w:fill="auto"/>
        </w:tcPr>
        <w:p w14:paraId="408C2FA8" w14:textId="77777777" w:rsidR="00053C02" w:rsidRPr="00C46589" w:rsidRDefault="00053C02" w:rsidP="00AA1C2D">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5D0D1FDD" w14:textId="79ADFEB7" w:rsidR="00053C02" w:rsidRPr="00C46589" w:rsidRDefault="00053C02">
          <w:pPr>
            <w:pStyle w:val="Header"/>
            <w:jc w:val="center"/>
            <w:rPr>
              <w:rFonts w:ascii="Lato" w:eastAsia="Lato" w:hAnsi="Lato"/>
              <w:sz w:val="14"/>
              <w:szCs w:val="14"/>
            </w:rPr>
          </w:pPr>
          <w:r>
            <w:rPr>
              <w:rFonts w:ascii="Lato" w:eastAsia="Lato" w:hAnsi="Lato"/>
              <w:sz w:val="14"/>
              <w:szCs w:val="14"/>
            </w:rPr>
            <w:t>Money Market Fund Regulation Application Form Section 2 Prospectus 2018</w:t>
          </w:r>
        </w:p>
      </w:tc>
      <w:tc>
        <w:tcPr>
          <w:tcW w:w="906" w:type="dxa"/>
          <w:tcBorders>
            <w:left w:val="single" w:sz="4" w:space="0" w:color="5B9BD5"/>
          </w:tcBorders>
          <w:shd w:val="clear" w:color="auto" w:fill="auto"/>
        </w:tcPr>
        <w:p w14:paraId="5B8C4756" w14:textId="1488C4CD" w:rsidR="00053C02" w:rsidRPr="00C46589" w:rsidRDefault="00053C02" w:rsidP="00AA1C2D">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5B47FF">
            <w:rPr>
              <w:rFonts w:ascii="Lato" w:eastAsia="Lato" w:hAnsi="Lato"/>
              <w:noProof/>
              <w:sz w:val="14"/>
              <w:szCs w:val="14"/>
            </w:rPr>
            <w:t>7</w:t>
          </w:r>
          <w:r w:rsidRPr="00665CF9">
            <w:rPr>
              <w:rFonts w:ascii="Lato" w:eastAsia="Lato" w:hAnsi="Lato"/>
              <w:noProof/>
              <w:sz w:val="14"/>
              <w:szCs w:val="14"/>
            </w:rPr>
            <w:fldChar w:fldCharType="end"/>
          </w:r>
        </w:p>
      </w:tc>
    </w:tr>
  </w:tbl>
  <w:p w14:paraId="324B052E" w14:textId="77777777" w:rsidR="00053C02" w:rsidRDefault="00053C02" w:rsidP="004E6794">
    <w:pPr>
      <w:pStyle w:val="Header"/>
      <w:pBdr>
        <w:top w:val="single" w:sz="2" w:space="3" w:color="FFFFFF"/>
        <w:left w:val="single" w:sz="2" w:space="3" w:color="FFFFFF"/>
        <w:bottom w:val="single" w:sz="2" w:space="0" w:color="FFFFFF"/>
        <w:right w:val="single" w:sz="2" w:space="3" w:color="FFFFFF"/>
      </w:pBdr>
      <w:tabs>
        <w:tab w:val="clear" w:pos="4320"/>
        <w:tab w:val="left" w:pos="4635"/>
        <w:tab w:val="left" w:pos="5808"/>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DAA9" w14:textId="2D89752D" w:rsidR="00053C02" w:rsidRDefault="005B47FF" w:rsidP="005B47FF">
    <w:pPr>
      <w:pStyle w:val="Header"/>
    </w:pPr>
    <w:fldSimple w:instr=" DOCPROPERTY bjHeaderFirstPageDocProperty \* MERGEFORMAT " w:fldLock="1">
      <w:r w:rsidRPr="005B47FF">
        <w:rPr>
          <w:rFonts w:ascii="Times New Roman" w:hAnsi="Times New Roman"/>
          <w:color w:val="000000"/>
          <w:sz w:val="24"/>
        </w:rPr>
        <w:t xml:space="preserve"> </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683D" w14:textId="1AB05B5D" w:rsidR="00053C02" w:rsidRDefault="005B47FF" w:rsidP="005B47FF">
    <w:pPr>
      <w:pStyle w:val="Header"/>
    </w:pPr>
    <w:fldSimple w:instr=" DOCPROPERTY bjHeaderEvenPageDocProperty \* MERGEFORMAT " w:fldLock="1">
      <w:r w:rsidRPr="005B47FF">
        <w:rPr>
          <w:rFonts w:ascii="Times New Roman" w:hAnsi="Times New Roman"/>
          <w:color w:val="000000"/>
          <w:sz w:val="24"/>
        </w:rPr>
        <w:t xml:space="preserve"> </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94F7" w14:textId="5104A8CF" w:rsidR="00053C02" w:rsidRPr="00EF5332" w:rsidRDefault="005B47FF" w:rsidP="005B47FF">
    <w:pPr>
      <w:pStyle w:val="Header"/>
    </w:pPr>
    <w:fldSimple w:instr=" DOCPROPERTY bjHeaderBothDocProperty \* MERGEFORMAT " w:fldLock="1">
      <w:r w:rsidRPr="005B47FF">
        <w:rPr>
          <w:rFonts w:ascii="Times New Roman" w:hAnsi="Times New Roman"/>
          <w:color w:val="000000"/>
          <w:sz w:val="24"/>
        </w:rPr>
        <w:t xml:space="preserve"> </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A53F" w14:textId="45E2C37D" w:rsidR="00053C02" w:rsidRDefault="005B47FF" w:rsidP="005B47FF">
    <w:pPr>
      <w:pStyle w:val="Header"/>
    </w:pPr>
    <w:fldSimple w:instr=" DOCPROPERTY bjHeaderFirstPageDocProperty \* MERGEFORMAT " w:fldLock="1">
      <w:r w:rsidRPr="005B47FF">
        <w:rPr>
          <w:rFonts w:ascii="Times New Roman" w:hAnsi="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6C71"/>
    <w:multiLevelType w:val="hybridMultilevel"/>
    <w:tmpl w:val="F48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32A"/>
    <w:multiLevelType w:val="hybridMultilevel"/>
    <w:tmpl w:val="541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757D6"/>
    <w:multiLevelType w:val="hybridMultilevel"/>
    <w:tmpl w:val="0E3C5904"/>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4B7D77"/>
    <w:multiLevelType w:val="hybridMultilevel"/>
    <w:tmpl w:val="EAAECEAC"/>
    <w:lvl w:ilvl="0" w:tplc="BDBC6C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C23247"/>
    <w:multiLevelType w:val="hybridMultilevel"/>
    <w:tmpl w:val="FCDAF1E8"/>
    <w:lvl w:ilvl="0" w:tplc="24BEF2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9C45A46"/>
    <w:multiLevelType w:val="hybridMultilevel"/>
    <w:tmpl w:val="F798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74280"/>
    <w:multiLevelType w:val="hybridMultilevel"/>
    <w:tmpl w:val="531EF7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0A187912"/>
    <w:multiLevelType w:val="hybridMultilevel"/>
    <w:tmpl w:val="CE9604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B15F6"/>
    <w:multiLevelType w:val="hybridMultilevel"/>
    <w:tmpl w:val="B69E63C6"/>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11" w15:restartNumberingAfterBreak="0">
    <w:nsid w:val="0C1C3534"/>
    <w:multiLevelType w:val="hybridMultilevel"/>
    <w:tmpl w:val="9CF83D78"/>
    <w:lvl w:ilvl="0" w:tplc="12C469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FA613DD"/>
    <w:multiLevelType w:val="hybridMultilevel"/>
    <w:tmpl w:val="213AEF14"/>
    <w:lvl w:ilvl="0" w:tplc="5B1A8D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15F2351"/>
    <w:multiLevelType w:val="hybridMultilevel"/>
    <w:tmpl w:val="F0AC767C"/>
    <w:lvl w:ilvl="0" w:tplc="13C0EE68">
      <w:start w:val="1"/>
      <w:numFmt w:val="lowerLetter"/>
      <w:lvlText w:val="(%1)"/>
      <w:lvlJc w:val="left"/>
      <w:pPr>
        <w:tabs>
          <w:tab w:val="num" w:pos="720"/>
        </w:tabs>
        <w:ind w:left="720" w:hanging="360"/>
      </w:pPr>
      <w:rPr>
        <w:rFonts w:ascii="Lato" w:eastAsia="Times New Roman" w:hAnsi="Lato"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47A2D9A"/>
    <w:multiLevelType w:val="hybridMultilevel"/>
    <w:tmpl w:val="4484E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50D4D48"/>
    <w:multiLevelType w:val="hybridMultilevel"/>
    <w:tmpl w:val="EDD48F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230B32"/>
    <w:multiLevelType w:val="hybridMultilevel"/>
    <w:tmpl w:val="917E1EF4"/>
    <w:lvl w:ilvl="0" w:tplc="D7EE71B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A51598F"/>
    <w:multiLevelType w:val="hybridMultilevel"/>
    <w:tmpl w:val="0224751A"/>
    <w:lvl w:ilvl="0" w:tplc="DF0442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C25000D"/>
    <w:multiLevelType w:val="hybridMultilevel"/>
    <w:tmpl w:val="26E20D52"/>
    <w:lvl w:ilvl="0" w:tplc="B696061E">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2"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C805E3"/>
    <w:multiLevelType w:val="hybridMultilevel"/>
    <w:tmpl w:val="EE7A4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08411C1"/>
    <w:multiLevelType w:val="hybridMultilevel"/>
    <w:tmpl w:val="AE6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4B43525"/>
    <w:multiLevelType w:val="hybridMultilevel"/>
    <w:tmpl w:val="CADE311A"/>
    <w:lvl w:ilvl="0" w:tplc="51603146">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6" w15:restartNumberingAfterBreak="0">
    <w:nsid w:val="24C856B8"/>
    <w:multiLevelType w:val="hybridMultilevel"/>
    <w:tmpl w:val="608E7FB4"/>
    <w:lvl w:ilvl="0" w:tplc="93A22AE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24DE209C"/>
    <w:multiLevelType w:val="hybridMultilevel"/>
    <w:tmpl w:val="935EE5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5C41347"/>
    <w:multiLevelType w:val="hybridMultilevel"/>
    <w:tmpl w:val="2E32BB20"/>
    <w:lvl w:ilvl="0" w:tplc="9FC600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9184312"/>
    <w:multiLevelType w:val="hybridMultilevel"/>
    <w:tmpl w:val="5F0019F8"/>
    <w:lvl w:ilvl="0" w:tplc="463AB30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18D1D00"/>
    <w:multiLevelType w:val="hybridMultilevel"/>
    <w:tmpl w:val="3CB0BAFA"/>
    <w:lvl w:ilvl="0" w:tplc="97D65F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5EC52DC"/>
    <w:multiLevelType w:val="hybridMultilevel"/>
    <w:tmpl w:val="7390C470"/>
    <w:lvl w:ilvl="0" w:tplc="38DA55B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61C18AA"/>
    <w:multiLevelType w:val="hybridMultilevel"/>
    <w:tmpl w:val="AC5CB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65E6EDC"/>
    <w:multiLevelType w:val="hybridMultilevel"/>
    <w:tmpl w:val="02003480"/>
    <w:lvl w:ilvl="0" w:tplc="6C6E3E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3A533979"/>
    <w:multiLevelType w:val="hybridMultilevel"/>
    <w:tmpl w:val="637E5998"/>
    <w:lvl w:ilvl="0" w:tplc="1ED6457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3CA66989"/>
    <w:multiLevelType w:val="hybridMultilevel"/>
    <w:tmpl w:val="6390EDE6"/>
    <w:lvl w:ilvl="0" w:tplc="C3FE78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3EA16747"/>
    <w:multiLevelType w:val="hybridMultilevel"/>
    <w:tmpl w:val="D7C2B59C"/>
    <w:lvl w:ilvl="0" w:tplc="58C28E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3EE5208B"/>
    <w:multiLevelType w:val="hybridMultilevel"/>
    <w:tmpl w:val="9AB81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0E84716"/>
    <w:multiLevelType w:val="hybridMultilevel"/>
    <w:tmpl w:val="54720F26"/>
    <w:lvl w:ilvl="0" w:tplc="18090001">
      <w:start w:val="1"/>
      <w:numFmt w:val="bullet"/>
      <w:lvlText w:val=""/>
      <w:lvlJc w:val="left"/>
      <w:pPr>
        <w:ind w:left="659" w:hanging="360"/>
      </w:pPr>
      <w:rPr>
        <w:rFonts w:ascii="Symbol" w:hAnsi="Symbol" w:hint="default"/>
      </w:rPr>
    </w:lvl>
    <w:lvl w:ilvl="1" w:tplc="18090003" w:tentative="1">
      <w:start w:val="1"/>
      <w:numFmt w:val="bullet"/>
      <w:lvlText w:val="o"/>
      <w:lvlJc w:val="left"/>
      <w:pPr>
        <w:ind w:left="1379" w:hanging="360"/>
      </w:pPr>
      <w:rPr>
        <w:rFonts w:ascii="Courier New" w:hAnsi="Courier New" w:cs="Courier New" w:hint="default"/>
      </w:rPr>
    </w:lvl>
    <w:lvl w:ilvl="2" w:tplc="18090005" w:tentative="1">
      <w:start w:val="1"/>
      <w:numFmt w:val="bullet"/>
      <w:lvlText w:val=""/>
      <w:lvlJc w:val="left"/>
      <w:pPr>
        <w:ind w:left="2099" w:hanging="360"/>
      </w:pPr>
      <w:rPr>
        <w:rFonts w:ascii="Wingdings" w:hAnsi="Wingdings" w:hint="default"/>
      </w:rPr>
    </w:lvl>
    <w:lvl w:ilvl="3" w:tplc="18090001" w:tentative="1">
      <w:start w:val="1"/>
      <w:numFmt w:val="bullet"/>
      <w:lvlText w:val=""/>
      <w:lvlJc w:val="left"/>
      <w:pPr>
        <w:ind w:left="2819" w:hanging="360"/>
      </w:pPr>
      <w:rPr>
        <w:rFonts w:ascii="Symbol" w:hAnsi="Symbol" w:hint="default"/>
      </w:rPr>
    </w:lvl>
    <w:lvl w:ilvl="4" w:tplc="18090003" w:tentative="1">
      <w:start w:val="1"/>
      <w:numFmt w:val="bullet"/>
      <w:lvlText w:val="o"/>
      <w:lvlJc w:val="left"/>
      <w:pPr>
        <w:ind w:left="3539" w:hanging="360"/>
      </w:pPr>
      <w:rPr>
        <w:rFonts w:ascii="Courier New" w:hAnsi="Courier New" w:cs="Courier New" w:hint="default"/>
      </w:rPr>
    </w:lvl>
    <w:lvl w:ilvl="5" w:tplc="18090005" w:tentative="1">
      <w:start w:val="1"/>
      <w:numFmt w:val="bullet"/>
      <w:lvlText w:val=""/>
      <w:lvlJc w:val="left"/>
      <w:pPr>
        <w:ind w:left="4259" w:hanging="360"/>
      </w:pPr>
      <w:rPr>
        <w:rFonts w:ascii="Wingdings" w:hAnsi="Wingdings" w:hint="default"/>
      </w:rPr>
    </w:lvl>
    <w:lvl w:ilvl="6" w:tplc="18090001" w:tentative="1">
      <w:start w:val="1"/>
      <w:numFmt w:val="bullet"/>
      <w:lvlText w:val=""/>
      <w:lvlJc w:val="left"/>
      <w:pPr>
        <w:ind w:left="4979" w:hanging="360"/>
      </w:pPr>
      <w:rPr>
        <w:rFonts w:ascii="Symbol" w:hAnsi="Symbol" w:hint="default"/>
      </w:rPr>
    </w:lvl>
    <w:lvl w:ilvl="7" w:tplc="18090003" w:tentative="1">
      <w:start w:val="1"/>
      <w:numFmt w:val="bullet"/>
      <w:lvlText w:val="o"/>
      <w:lvlJc w:val="left"/>
      <w:pPr>
        <w:ind w:left="5699" w:hanging="360"/>
      </w:pPr>
      <w:rPr>
        <w:rFonts w:ascii="Courier New" w:hAnsi="Courier New" w:cs="Courier New" w:hint="default"/>
      </w:rPr>
    </w:lvl>
    <w:lvl w:ilvl="8" w:tplc="18090005" w:tentative="1">
      <w:start w:val="1"/>
      <w:numFmt w:val="bullet"/>
      <w:lvlText w:val=""/>
      <w:lvlJc w:val="left"/>
      <w:pPr>
        <w:ind w:left="6419" w:hanging="360"/>
      </w:pPr>
      <w:rPr>
        <w:rFonts w:ascii="Wingdings" w:hAnsi="Wingdings" w:hint="default"/>
      </w:rPr>
    </w:lvl>
  </w:abstractNum>
  <w:abstractNum w:abstractNumId="39" w15:restartNumberingAfterBreak="0">
    <w:nsid w:val="412D17B7"/>
    <w:multiLevelType w:val="hybridMultilevel"/>
    <w:tmpl w:val="71B6D252"/>
    <w:lvl w:ilvl="0" w:tplc="537AFA7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42EF1C63"/>
    <w:multiLevelType w:val="hybridMultilevel"/>
    <w:tmpl w:val="3886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2F860B8"/>
    <w:multiLevelType w:val="hybridMultilevel"/>
    <w:tmpl w:val="78302DEA"/>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DD377B"/>
    <w:multiLevelType w:val="hybridMultilevel"/>
    <w:tmpl w:val="56FC7B20"/>
    <w:lvl w:ilvl="0" w:tplc="CC4E4AF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43E575E0"/>
    <w:multiLevelType w:val="hybridMultilevel"/>
    <w:tmpl w:val="74C41336"/>
    <w:lvl w:ilvl="0" w:tplc="FD486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98B2055"/>
    <w:multiLevelType w:val="hybridMultilevel"/>
    <w:tmpl w:val="3266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98D7557"/>
    <w:multiLevelType w:val="hybridMultilevel"/>
    <w:tmpl w:val="4B543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49A86755"/>
    <w:multiLevelType w:val="hybridMultilevel"/>
    <w:tmpl w:val="36AA9574"/>
    <w:lvl w:ilvl="0" w:tplc="8B70A81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AFD1809"/>
    <w:multiLevelType w:val="hybridMultilevel"/>
    <w:tmpl w:val="FE0CC844"/>
    <w:lvl w:ilvl="0" w:tplc="96DAAF1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8" w15:restartNumberingAfterBreak="0">
    <w:nsid w:val="4C442014"/>
    <w:multiLevelType w:val="hybridMultilevel"/>
    <w:tmpl w:val="E17CE8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C6339EF"/>
    <w:multiLevelType w:val="hybridMultilevel"/>
    <w:tmpl w:val="C982082E"/>
    <w:lvl w:ilvl="0" w:tplc="C660CB1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4D2C5192"/>
    <w:multiLevelType w:val="hybridMultilevel"/>
    <w:tmpl w:val="58C861DE"/>
    <w:lvl w:ilvl="0" w:tplc="33E0A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B20F49"/>
    <w:multiLevelType w:val="hybridMultilevel"/>
    <w:tmpl w:val="9FD2B3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2096503"/>
    <w:multiLevelType w:val="hybridMultilevel"/>
    <w:tmpl w:val="3730B584"/>
    <w:lvl w:ilvl="0" w:tplc="4630EC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55E755F0"/>
    <w:multiLevelType w:val="multilevel"/>
    <w:tmpl w:val="E6305F28"/>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736089E"/>
    <w:multiLevelType w:val="hybridMultilevel"/>
    <w:tmpl w:val="5F105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573A1AA0"/>
    <w:multiLevelType w:val="hybridMultilevel"/>
    <w:tmpl w:val="3F06447C"/>
    <w:lvl w:ilvl="0" w:tplc="A6BE4A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58451A7A"/>
    <w:multiLevelType w:val="hybridMultilevel"/>
    <w:tmpl w:val="CD6A0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597B1502"/>
    <w:multiLevelType w:val="hybridMultilevel"/>
    <w:tmpl w:val="4FBE9A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C40415F"/>
    <w:multiLevelType w:val="hybridMultilevel"/>
    <w:tmpl w:val="B3C6552E"/>
    <w:lvl w:ilvl="0" w:tplc="C04816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5C450349"/>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3" w15:restartNumberingAfterBreak="0">
    <w:nsid w:val="5E4F3A14"/>
    <w:multiLevelType w:val="hybridMultilevel"/>
    <w:tmpl w:val="DB9A4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642F1864"/>
    <w:multiLevelType w:val="hybridMultilevel"/>
    <w:tmpl w:val="E514D348"/>
    <w:lvl w:ilvl="0" w:tplc="3A36AC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64E209B6"/>
    <w:multiLevelType w:val="hybridMultilevel"/>
    <w:tmpl w:val="B0E240C6"/>
    <w:lvl w:ilvl="0" w:tplc="E090B0D6">
      <w:start w:val="1"/>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7" w15:restartNumberingAfterBreak="0">
    <w:nsid w:val="64F0262A"/>
    <w:multiLevelType w:val="hybridMultilevel"/>
    <w:tmpl w:val="562AFCEE"/>
    <w:lvl w:ilvl="0" w:tplc="DC9E29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65506C58"/>
    <w:multiLevelType w:val="hybridMultilevel"/>
    <w:tmpl w:val="65A0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66023132"/>
    <w:multiLevelType w:val="hybridMultilevel"/>
    <w:tmpl w:val="E026D032"/>
    <w:lvl w:ilvl="0" w:tplc="D30E64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66A22608"/>
    <w:multiLevelType w:val="hybridMultilevel"/>
    <w:tmpl w:val="7DB292CC"/>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0A7DA1"/>
    <w:multiLevelType w:val="hybridMultilevel"/>
    <w:tmpl w:val="3B164D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CF0DFD"/>
    <w:multiLevelType w:val="hybridMultilevel"/>
    <w:tmpl w:val="31DE623E"/>
    <w:lvl w:ilvl="0" w:tplc="69ECE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70D578EA"/>
    <w:multiLevelType w:val="hybridMultilevel"/>
    <w:tmpl w:val="F976D970"/>
    <w:lvl w:ilvl="0" w:tplc="E8A0DDF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70DD1444"/>
    <w:multiLevelType w:val="hybridMultilevel"/>
    <w:tmpl w:val="701694A6"/>
    <w:lvl w:ilvl="0" w:tplc="E2A8CA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17A1D9D"/>
    <w:multiLevelType w:val="hybridMultilevel"/>
    <w:tmpl w:val="C8F8880A"/>
    <w:lvl w:ilvl="0" w:tplc="14485F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71CD0CF4"/>
    <w:multiLevelType w:val="hybridMultilevel"/>
    <w:tmpl w:val="320A3934"/>
    <w:lvl w:ilvl="0" w:tplc="F738B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15:restartNumberingAfterBreak="0">
    <w:nsid w:val="724E7DF4"/>
    <w:multiLevelType w:val="hybridMultilevel"/>
    <w:tmpl w:val="E1D66092"/>
    <w:lvl w:ilvl="0" w:tplc="679ADF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3A67751"/>
    <w:multiLevelType w:val="hybridMultilevel"/>
    <w:tmpl w:val="B4664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50F066F"/>
    <w:multiLevelType w:val="hybridMultilevel"/>
    <w:tmpl w:val="8D4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C46F33"/>
    <w:multiLevelType w:val="hybridMultilevel"/>
    <w:tmpl w:val="0CC41E7E"/>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7F07F91"/>
    <w:multiLevelType w:val="hybridMultilevel"/>
    <w:tmpl w:val="FB8A9188"/>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A502E86"/>
    <w:multiLevelType w:val="hybridMultilevel"/>
    <w:tmpl w:val="278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7CD968F6"/>
    <w:multiLevelType w:val="hybridMultilevel"/>
    <w:tmpl w:val="2AF09892"/>
    <w:lvl w:ilvl="0" w:tplc="8A80C0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7" w15:restartNumberingAfterBreak="0">
    <w:nsid w:val="7CFC2AD4"/>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8" w15:restartNumberingAfterBreak="0">
    <w:nsid w:val="7F552B77"/>
    <w:multiLevelType w:val="hybridMultilevel"/>
    <w:tmpl w:val="B72CC546"/>
    <w:lvl w:ilvl="0" w:tplc="E3F4BE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2"/>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59"/>
  </w:num>
  <w:num w:numId="9">
    <w:abstractNumId w:val="70"/>
  </w:num>
  <w:num w:numId="10">
    <w:abstractNumId w:val="14"/>
  </w:num>
  <w:num w:numId="11">
    <w:abstractNumId w:val="41"/>
  </w:num>
  <w:num w:numId="12">
    <w:abstractNumId w:val="82"/>
  </w:num>
  <w:num w:numId="13">
    <w:abstractNumId w:val="2"/>
  </w:num>
  <w:num w:numId="14">
    <w:abstractNumId w:val="81"/>
  </w:num>
  <w:num w:numId="15">
    <w:abstractNumId w:val="22"/>
  </w:num>
  <w:num w:numId="16">
    <w:abstractNumId w:val="51"/>
  </w:num>
  <w:num w:numId="17">
    <w:abstractNumId w:val="17"/>
  </w:num>
  <w:num w:numId="18">
    <w:abstractNumId w:val="23"/>
  </w:num>
  <w:num w:numId="19">
    <w:abstractNumId w:val="85"/>
  </w:num>
  <w:num w:numId="20">
    <w:abstractNumId w:val="40"/>
  </w:num>
  <w:num w:numId="21">
    <w:abstractNumId w:val="38"/>
  </w:num>
  <w:num w:numId="22">
    <w:abstractNumId w:val="3"/>
  </w:num>
  <w:num w:numId="23">
    <w:abstractNumId w:val="44"/>
  </w:num>
  <w:num w:numId="24">
    <w:abstractNumId w:val="65"/>
  </w:num>
  <w:num w:numId="25">
    <w:abstractNumId w:val="84"/>
  </w:num>
  <w:num w:numId="26">
    <w:abstractNumId w:val="15"/>
  </w:num>
  <w:num w:numId="27">
    <w:abstractNumId w:val="63"/>
  </w:num>
  <w:num w:numId="28">
    <w:abstractNumId w:val="46"/>
  </w:num>
  <w:num w:numId="29">
    <w:abstractNumId w:val="79"/>
  </w:num>
  <w:num w:numId="30">
    <w:abstractNumId w:val="56"/>
  </w:num>
  <w:num w:numId="31">
    <w:abstractNumId w:val="29"/>
  </w:num>
  <w:num w:numId="32">
    <w:abstractNumId w:val="8"/>
  </w:num>
  <w:num w:numId="33">
    <w:abstractNumId w:val="68"/>
  </w:num>
  <w:num w:numId="34">
    <w:abstractNumId w:val="10"/>
  </w:num>
  <w:num w:numId="35">
    <w:abstractNumId w:val="37"/>
  </w:num>
  <w:num w:numId="36">
    <w:abstractNumId w:val="45"/>
  </w:num>
  <w:num w:numId="37">
    <w:abstractNumId w:val="19"/>
  </w:num>
  <w:num w:numId="38">
    <w:abstractNumId w:val="43"/>
  </w:num>
  <w:num w:numId="39">
    <w:abstractNumId w:val="54"/>
  </w:num>
  <w:num w:numId="40">
    <w:abstractNumId w:val="71"/>
  </w:num>
  <w:num w:numId="41">
    <w:abstractNumId w:val="11"/>
  </w:num>
  <w:num w:numId="42">
    <w:abstractNumId w:val="32"/>
  </w:num>
  <w:num w:numId="43">
    <w:abstractNumId w:val="58"/>
  </w:num>
  <w:num w:numId="44">
    <w:abstractNumId w:val="50"/>
  </w:num>
  <w:num w:numId="45">
    <w:abstractNumId w:val="48"/>
  </w:num>
  <w:num w:numId="46">
    <w:abstractNumId w:val="36"/>
  </w:num>
  <w:num w:numId="47">
    <w:abstractNumId w:val="52"/>
  </w:num>
  <w:num w:numId="48">
    <w:abstractNumId w:val="35"/>
  </w:num>
  <w:num w:numId="49">
    <w:abstractNumId w:val="4"/>
  </w:num>
  <w:num w:numId="50">
    <w:abstractNumId w:val="7"/>
  </w:num>
  <w:num w:numId="51">
    <w:abstractNumId w:val="62"/>
  </w:num>
  <w:num w:numId="52">
    <w:abstractNumId w:val="34"/>
  </w:num>
  <w:num w:numId="53">
    <w:abstractNumId w:val="87"/>
  </w:num>
  <w:num w:numId="54">
    <w:abstractNumId w:val="16"/>
  </w:num>
  <w:num w:numId="55">
    <w:abstractNumId w:val="80"/>
  </w:num>
  <w:num w:numId="56">
    <w:abstractNumId w:val="5"/>
  </w:num>
  <w:num w:numId="57">
    <w:abstractNumId w:val="24"/>
  </w:num>
  <w:num w:numId="58">
    <w:abstractNumId w:val="83"/>
  </w:num>
  <w:num w:numId="59">
    <w:abstractNumId w:val="74"/>
  </w:num>
  <w:num w:numId="60">
    <w:abstractNumId w:val="49"/>
  </w:num>
  <w:num w:numId="61">
    <w:abstractNumId w:val="61"/>
  </w:num>
  <w:num w:numId="62">
    <w:abstractNumId w:val="53"/>
  </w:num>
  <w:num w:numId="63">
    <w:abstractNumId w:val="67"/>
  </w:num>
  <w:num w:numId="64">
    <w:abstractNumId w:val="69"/>
  </w:num>
  <w:num w:numId="65">
    <w:abstractNumId w:val="39"/>
  </w:num>
  <w:num w:numId="66">
    <w:abstractNumId w:val="28"/>
  </w:num>
  <w:num w:numId="67">
    <w:abstractNumId w:val="6"/>
  </w:num>
  <w:num w:numId="68">
    <w:abstractNumId w:val="27"/>
  </w:num>
  <w:num w:numId="69">
    <w:abstractNumId w:val="57"/>
  </w:num>
  <w:num w:numId="70">
    <w:abstractNumId w:val="18"/>
  </w:num>
  <w:num w:numId="71">
    <w:abstractNumId w:val="77"/>
  </w:num>
  <w:num w:numId="72">
    <w:abstractNumId w:val="20"/>
  </w:num>
  <w:num w:numId="73">
    <w:abstractNumId w:val="47"/>
  </w:num>
  <w:num w:numId="74">
    <w:abstractNumId w:val="73"/>
  </w:num>
  <w:num w:numId="75">
    <w:abstractNumId w:val="75"/>
  </w:num>
  <w:num w:numId="76">
    <w:abstractNumId w:val="21"/>
  </w:num>
  <w:num w:numId="77">
    <w:abstractNumId w:val="25"/>
  </w:num>
  <w:num w:numId="78">
    <w:abstractNumId w:val="88"/>
  </w:num>
  <w:num w:numId="79">
    <w:abstractNumId w:val="31"/>
  </w:num>
  <w:num w:numId="80">
    <w:abstractNumId w:val="33"/>
  </w:num>
  <w:num w:numId="81">
    <w:abstractNumId w:val="76"/>
  </w:num>
  <w:num w:numId="82">
    <w:abstractNumId w:val="13"/>
  </w:num>
  <w:num w:numId="83">
    <w:abstractNumId w:val="1"/>
  </w:num>
  <w:num w:numId="84">
    <w:abstractNumId w:val="30"/>
  </w:num>
  <w:num w:numId="85">
    <w:abstractNumId w:val="78"/>
  </w:num>
  <w:num w:numId="86">
    <w:abstractNumId w:val="42"/>
  </w:num>
  <w:num w:numId="87">
    <w:abstractNumId w:val="26"/>
  </w:num>
  <w:num w:numId="88">
    <w:abstractNumId w:val="86"/>
  </w:num>
  <w:num w:numId="89">
    <w:abstractNumId w:val="66"/>
  </w:num>
  <w:num w:numId="90">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A"/>
    <w:rsid w:val="000001FD"/>
    <w:rsid w:val="00001169"/>
    <w:rsid w:val="00004D9D"/>
    <w:rsid w:val="00007661"/>
    <w:rsid w:val="0000784E"/>
    <w:rsid w:val="000160FB"/>
    <w:rsid w:val="00016CBA"/>
    <w:rsid w:val="000228D0"/>
    <w:rsid w:val="00022BCD"/>
    <w:rsid w:val="00026C25"/>
    <w:rsid w:val="00026ED2"/>
    <w:rsid w:val="00030F26"/>
    <w:rsid w:val="00031A7B"/>
    <w:rsid w:val="0003430D"/>
    <w:rsid w:val="00034F9D"/>
    <w:rsid w:val="00035008"/>
    <w:rsid w:val="000360A4"/>
    <w:rsid w:val="00044060"/>
    <w:rsid w:val="00046C1D"/>
    <w:rsid w:val="0004739D"/>
    <w:rsid w:val="0005171A"/>
    <w:rsid w:val="00053C02"/>
    <w:rsid w:val="00054D00"/>
    <w:rsid w:val="000557C6"/>
    <w:rsid w:val="000565C0"/>
    <w:rsid w:val="000566F0"/>
    <w:rsid w:val="00061012"/>
    <w:rsid w:val="00063496"/>
    <w:rsid w:val="000640E4"/>
    <w:rsid w:val="0006430A"/>
    <w:rsid w:val="00066B9C"/>
    <w:rsid w:val="00070DD6"/>
    <w:rsid w:val="0007218D"/>
    <w:rsid w:val="0007278A"/>
    <w:rsid w:val="0007309A"/>
    <w:rsid w:val="00073D4A"/>
    <w:rsid w:val="00075D47"/>
    <w:rsid w:val="000801AA"/>
    <w:rsid w:val="0008170C"/>
    <w:rsid w:val="0008367A"/>
    <w:rsid w:val="00083817"/>
    <w:rsid w:val="000843F3"/>
    <w:rsid w:val="00090EDC"/>
    <w:rsid w:val="00092858"/>
    <w:rsid w:val="00095481"/>
    <w:rsid w:val="0009596E"/>
    <w:rsid w:val="00096667"/>
    <w:rsid w:val="000A0DD0"/>
    <w:rsid w:val="000A11B5"/>
    <w:rsid w:val="000A31F1"/>
    <w:rsid w:val="000A63F6"/>
    <w:rsid w:val="000A6BB3"/>
    <w:rsid w:val="000B1526"/>
    <w:rsid w:val="000B1B1A"/>
    <w:rsid w:val="000B415E"/>
    <w:rsid w:val="000B666B"/>
    <w:rsid w:val="000B79F8"/>
    <w:rsid w:val="000B7DAA"/>
    <w:rsid w:val="000C1792"/>
    <w:rsid w:val="000C18C3"/>
    <w:rsid w:val="000C286E"/>
    <w:rsid w:val="000C5A01"/>
    <w:rsid w:val="000C6B65"/>
    <w:rsid w:val="000C770D"/>
    <w:rsid w:val="000D106A"/>
    <w:rsid w:val="000D1DFB"/>
    <w:rsid w:val="000E0561"/>
    <w:rsid w:val="000E0B99"/>
    <w:rsid w:val="000E1414"/>
    <w:rsid w:val="000E2B95"/>
    <w:rsid w:val="000E39CA"/>
    <w:rsid w:val="000E4C7E"/>
    <w:rsid w:val="000E6D78"/>
    <w:rsid w:val="000F3B66"/>
    <w:rsid w:val="000F457E"/>
    <w:rsid w:val="000F590E"/>
    <w:rsid w:val="000F5B22"/>
    <w:rsid w:val="000F5CA9"/>
    <w:rsid w:val="000F6295"/>
    <w:rsid w:val="000F6FC3"/>
    <w:rsid w:val="000F71D3"/>
    <w:rsid w:val="00100CA8"/>
    <w:rsid w:val="001026EC"/>
    <w:rsid w:val="001055D1"/>
    <w:rsid w:val="001055F6"/>
    <w:rsid w:val="00111C81"/>
    <w:rsid w:val="00112F53"/>
    <w:rsid w:val="00113A67"/>
    <w:rsid w:val="001155AA"/>
    <w:rsid w:val="00115928"/>
    <w:rsid w:val="001167D1"/>
    <w:rsid w:val="00121E0D"/>
    <w:rsid w:val="00121EFB"/>
    <w:rsid w:val="00121F4E"/>
    <w:rsid w:val="00123052"/>
    <w:rsid w:val="00126DD6"/>
    <w:rsid w:val="00132EDD"/>
    <w:rsid w:val="001342EF"/>
    <w:rsid w:val="00135602"/>
    <w:rsid w:val="00145B91"/>
    <w:rsid w:val="00146FE0"/>
    <w:rsid w:val="00150E24"/>
    <w:rsid w:val="00152F2E"/>
    <w:rsid w:val="001534C1"/>
    <w:rsid w:val="0015371D"/>
    <w:rsid w:val="001556A2"/>
    <w:rsid w:val="0015585B"/>
    <w:rsid w:val="001561D2"/>
    <w:rsid w:val="00156917"/>
    <w:rsid w:val="00156AB6"/>
    <w:rsid w:val="00161C35"/>
    <w:rsid w:val="00162B56"/>
    <w:rsid w:val="00165292"/>
    <w:rsid w:val="0016649E"/>
    <w:rsid w:val="00166DAB"/>
    <w:rsid w:val="00167F2A"/>
    <w:rsid w:val="0017009C"/>
    <w:rsid w:val="00172E75"/>
    <w:rsid w:val="001769AA"/>
    <w:rsid w:val="001800A8"/>
    <w:rsid w:val="00183FCA"/>
    <w:rsid w:val="001916D9"/>
    <w:rsid w:val="0019265C"/>
    <w:rsid w:val="001964AD"/>
    <w:rsid w:val="00196BA4"/>
    <w:rsid w:val="0019741F"/>
    <w:rsid w:val="00197B02"/>
    <w:rsid w:val="00197B75"/>
    <w:rsid w:val="001A029B"/>
    <w:rsid w:val="001A0909"/>
    <w:rsid w:val="001A68E4"/>
    <w:rsid w:val="001B4078"/>
    <w:rsid w:val="001B60AA"/>
    <w:rsid w:val="001B79FB"/>
    <w:rsid w:val="001C1F26"/>
    <w:rsid w:val="001C1F7B"/>
    <w:rsid w:val="001C1F81"/>
    <w:rsid w:val="001C39FE"/>
    <w:rsid w:val="001D0DE8"/>
    <w:rsid w:val="001D0EE8"/>
    <w:rsid w:val="001D106C"/>
    <w:rsid w:val="001D4C0A"/>
    <w:rsid w:val="001E196F"/>
    <w:rsid w:val="001E21A3"/>
    <w:rsid w:val="001E63A2"/>
    <w:rsid w:val="001F0CD3"/>
    <w:rsid w:val="001F1807"/>
    <w:rsid w:val="001F395A"/>
    <w:rsid w:val="001F3F03"/>
    <w:rsid w:val="001F55C3"/>
    <w:rsid w:val="001F5CB4"/>
    <w:rsid w:val="001F7E05"/>
    <w:rsid w:val="00200674"/>
    <w:rsid w:val="002067C4"/>
    <w:rsid w:val="00207FEF"/>
    <w:rsid w:val="00214914"/>
    <w:rsid w:val="00220127"/>
    <w:rsid w:val="0022162E"/>
    <w:rsid w:val="002242C1"/>
    <w:rsid w:val="002243D8"/>
    <w:rsid w:val="002247FB"/>
    <w:rsid w:val="00225666"/>
    <w:rsid w:val="00225770"/>
    <w:rsid w:val="002259CF"/>
    <w:rsid w:val="00226335"/>
    <w:rsid w:val="002266AF"/>
    <w:rsid w:val="00227857"/>
    <w:rsid w:val="00227D85"/>
    <w:rsid w:val="00230053"/>
    <w:rsid w:val="00231D83"/>
    <w:rsid w:val="00233711"/>
    <w:rsid w:val="002410DC"/>
    <w:rsid w:val="00241455"/>
    <w:rsid w:val="00241DE1"/>
    <w:rsid w:val="00243858"/>
    <w:rsid w:val="00245130"/>
    <w:rsid w:val="002475FE"/>
    <w:rsid w:val="00251417"/>
    <w:rsid w:val="002521B2"/>
    <w:rsid w:val="002572E2"/>
    <w:rsid w:val="002617E6"/>
    <w:rsid w:val="0026418E"/>
    <w:rsid w:val="0026765B"/>
    <w:rsid w:val="002720A0"/>
    <w:rsid w:val="00274433"/>
    <w:rsid w:val="00281875"/>
    <w:rsid w:val="00281D9F"/>
    <w:rsid w:val="00282139"/>
    <w:rsid w:val="00282D7D"/>
    <w:rsid w:val="002851E4"/>
    <w:rsid w:val="00287F0B"/>
    <w:rsid w:val="00290D5D"/>
    <w:rsid w:val="002938CA"/>
    <w:rsid w:val="002A1793"/>
    <w:rsid w:val="002A50B1"/>
    <w:rsid w:val="002A5BB8"/>
    <w:rsid w:val="002A7E27"/>
    <w:rsid w:val="002B1745"/>
    <w:rsid w:val="002B2417"/>
    <w:rsid w:val="002B2F31"/>
    <w:rsid w:val="002B3C71"/>
    <w:rsid w:val="002B5911"/>
    <w:rsid w:val="002B6A94"/>
    <w:rsid w:val="002B743F"/>
    <w:rsid w:val="002C1546"/>
    <w:rsid w:val="002C2B69"/>
    <w:rsid w:val="002C3FAB"/>
    <w:rsid w:val="002D06AD"/>
    <w:rsid w:val="002D3937"/>
    <w:rsid w:val="002E1362"/>
    <w:rsid w:val="002E252D"/>
    <w:rsid w:val="002E4988"/>
    <w:rsid w:val="002E4C7F"/>
    <w:rsid w:val="002E7984"/>
    <w:rsid w:val="002F16D2"/>
    <w:rsid w:val="002F19AD"/>
    <w:rsid w:val="002F284C"/>
    <w:rsid w:val="002F534D"/>
    <w:rsid w:val="002F6356"/>
    <w:rsid w:val="002F78FF"/>
    <w:rsid w:val="0030076E"/>
    <w:rsid w:val="003013AC"/>
    <w:rsid w:val="0030320E"/>
    <w:rsid w:val="003034FE"/>
    <w:rsid w:val="00306258"/>
    <w:rsid w:val="0030640C"/>
    <w:rsid w:val="003122BB"/>
    <w:rsid w:val="00313892"/>
    <w:rsid w:val="00315725"/>
    <w:rsid w:val="00320EFA"/>
    <w:rsid w:val="00321DA6"/>
    <w:rsid w:val="0032593F"/>
    <w:rsid w:val="003260FE"/>
    <w:rsid w:val="00330742"/>
    <w:rsid w:val="00330C4B"/>
    <w:rsid w:val="00331467"/>
    <w:rsid w:val="00345768"/>
    <w:rsid w:val="00345A94"/>
    <w:rsid w:val="00345BF7"/>
    <w:rsid w:val="003475E2"/>
    <w:rsid w:val="00347854"/>
    <w:rsid w:val="003514F4"/>
    <w:rsid w:val="00354E74"/>
    <w:rsid w:val="00355B95"/>
    <w:rsid w:val="0035629F"/>
    <w:rsid w:val="0035634D"/>
    <w:rsid w:val="003566F5"/>
    <w:rsid w:val="003575F9"/>
    <w:rsid w:val="00357CA2"/>
    <w:rsid w:val="003600A9"/>
    <w:rsid w:val="003631B3"/>
    <w:rsid w:val="00365855"/>
    <w:rsid w:val="0037041D"/>
    <w:rsid w:val="00370840"/>
    <w:rsid w:val="003739A3"/>
    <w:rsid w:val="00373BF6"/>
    <w:rsid w:val="0037726D"/>
    <w:rsid w:val="0037745C"/>
    <w:rsid w:val="0038064D"/>
    <w:rsid w:val="00383337"/>
    <w:rsid w:val="00390833"/>
    <w:rsid w:val="003911C3"/>
    <w:rsid w:val="003926EA"/>
    <w:rsid w:val="0039355A"/>
    <w:rsid w:val="003947FA"/>
    <w:rsid w:val="003A0723"/>
    <w:rsid w:val="003A19F8"/>
    <w:rsid w:val="003A2C7B"/>
    <w:rsid w:val="003A5595"/>
    <w:rsid w:val="003A67DB"/>
    <w:rsid w:val="003A690E"/>
    <w:rsid w:val="003A79BE"/>
    <w:rsid w:val="003B0FF1"/>
    <w:rsid w:val="003B1E55"/>
    <w:rsid w:val="003B21FE"/>
    <w:rsid w:val="003B513C"/>
    <w:rsid w:val="003B54B1"/>
    <w:rsid w:val="003B5891"/>
    <w:rsid w:val="003B73A0"/>
    <w:rsid w:val="003B7A92"/>
    <w:rsid w:val="003C0D3F"/>
    <w:rsid w:val="003C2BE8"/>
    <w:rsid w:val="003C3417"/>
    <w:rsid w:val="003C4F87"/>
    <w:rsid w:val="003C5868"/>
    <w:rsid w:val="003C7CE6"/>
    <w:rsid w:val="003D0366"/>
    <w:rsid w:val="003D05E2"/>
    <w:rsid w:val="003D0BFB"/>
    <w:rsid w:val="003D0C8D"/>
    <w:rsid w:val="003D45AC"/>
    <w:rsid w:val="003D7D10"/>
    <w:rsid w:val="003E023C"/>
    <w:rsid w:val="003E1069"/>
    <w:rsid w:val="003E22F3"/>
    <w:rsid w:val="003E3069"/>
    <w:rsid w:val="003E3410"/>
    <w:rsid w:val="003E4650"/>
    <w:rsid w:val="003E4EB7"/>
    <w:rsid w:val="003E5414"/>
    <w:rsid w:val="003E6066"/>
    <w:rsid w:val="003F0ABD"/>
    <w:rsid w:val="003F1738"/>
    <w:rsid w:val="003F22C7"/>
    <w:rsid w:val="003F41DE"/>
    <w:rsid w:val="003F543E"/>
    <w:rsid w:val="003F63C7"/>
    <w:rsid w:val="003F6EEE"/>
    <w:rsid w:val="00400B00"/>
    <w:rsid w:val="0040318E"/>
    <w:rsid w:val="004036B1"/>
    <w:rsid w:val="0040387E"/>
    <w:rsid w:val="00403D8A"/>
    <w:rsid w:val="00411FF5"/>
    <w:rsid w:val="0041209C"/>
    <w:rsid w:val="0041338B"/>
    <w:rsid w:val="00414878"/>
    <w:rsid w:val="00417336"/>
    <w:rsid w:val="00417477"/>
    <w:rsid w:val="00420ABB"/>
    <w:rsid w:val="004307D9"/>
    <w:rsid w:val="00431ACD"/>
    <w:rsid w:val="004333A3"/>
    <w:rsid w:val="00437BAD"/>
    <w:rsid w:val="00437BBE"/>
    <w:rsid w:val="00440CB1"/>
    <w:rsid w:val="00440DDE"/>
    <w:rsid w:val="004418F4"/>
    <w:rsid w:val="00441B6C"/>
    <w:rsid w:val="00445305"/>
    <w:rsid w:val="0044606E"/>
    <w:rsid w:val="00447E6D"/>
    <w:rsid w:val="004504B6"/>
    <w:rsid w:val="0045365A"/>
    <w:rsid w:val="004536BE"/>
    <w:rsid w:val="00456C5E"/>
    <w:rsid w:val="00457CFB"/>
    <w:rsid w:val="004675AB"/>
    <w:rsid w:val="004705BF"/>
    <w:rsid w:val="0047113E"/>
    <w:rsid w:val="00473CC9"/>
    <w:rsid w:val="0047503A"/>
    <w:rsid w:val="00475166"/>
    <w:rsid w:val="00475CFA"/>
    <w:rsid w:val="00480340"/>
    <w:rsid w:val="00481A1A"/>
    <w:rsid w:val="00481B76"/>
    <w:rsid w:val="00484B71"/>
    <w:rsid w:val="004868B7"/>
    <w:rsid w:val="0049035F"/>
    <w:rsid w:val="0049343D"/>
    <w:rsid w:val="004953CD"/>
    <w:rsid w:val="00496032"/>
    <w:rsid w:val="00497D56"/>
    <w:rsid w:val="004A0362"/>
    <w:rsid w:val="004A2818"/>
    <w:rsid w:val="004A2FCD"/>
    <w:rsid w:val="004A35A6"/>
    <w:rsid w:val="004A5A94"/>
    <w:rsid w:val="004A642A"/>
    <w:rsid w:val="004A6E3E"/>
    <w:rsid w:val="004B1361"/>
    <w:rsid w:val="004B5991"/>
    <w:rsid w:val="004B7A36"/>
    <w:rsid w:val="004C0EB2"/>
    <w:rsid w:val="004C1282"/>
    <w:rsid w:val="004C182C"/>
    <w:rsid w:val="004C2828"/>
    <w:rsid w:val="004C33FE"/>
    <w:rsid w:val="004C6CC6"/>
    <w:rsid w:val="004D0D4C"/>
    <w:rsid w:val="004D1C3A"/>
    <w:rsid w:val="004D535A"/>
    <w:rsid w:val="004D5B25"/>
    <w:rsid w:val="004D7E83"/>
    <w:rsid w:val="004E4E17"/>
    <w:rsid w:val="004E6794"/>
    <w:rsid w:val="004F0915"/>
    <w:rsid w:val="004F360A"/>
    <w:rsid w:val="004F51C0"/>
    <w:rsid w:val="004F6BBA"/>
    <w:rsid w:val="00501168"/>
    <w:rsid w:val="005011B0"/>
    <w:rsid w:val="005014CC"/>
    <w:rsid w:val="0050310F"/>
    <w:rsid w:val="0050373B"/>
    <w:rsid w:val="005037AE"/>
    <w:rsid w:val="005111ED"/>
    <w:rsid w:val="00511B3E"/>
    <w:rsid w:val="0051515D"/>
    <w:rsid w:val="00516BF8"/>
    <w:rsid w:val="00517AAB"/>
    <w:rsid w:val="00520706"/>
    <w:rsid w:val="00523604"/>
    <w:rsid w:val="00525472"/>
    <w:rsid w:val="00526CBD"/>
    <w:rsid w:val="00536D20"/>
    <w:rsid w:val="00543756"/>
    <w:rsid w:val="00551791"/>
    <w:rsid w:val="00551BA2"/>
    <w:rsid w:val="00552438"/>
    <w:rsid w:val="0055315D"/>
    <w:rsid w:val="00553AAD"/>
    <w:rsid w:val="00553C8E"/>
    <w:rsid w:val="0055727F"/>
    <w:rsid w:val="0056030F"/>
    <w:rsid w:val="00564319"/>
    <w:rsid w:val="00565C6B"/>
    <w:rsid w:val="00565F3D"/>
    <w:rsid w:val="00570012"/>
    <w:rsid w:val="00572191"/>
    <w:rsid w:val="00572FC6"/>
    <w:rsid w:val="0057322F"/>
    <w:rsid w:val="00574E6D"/>
    <w:rsid w:val="00575DF6"/>
    <w:rsid w:val="005764FE"/>
    <w:rsid w:val="00582568"/>
    <w:rsid w:val="00582D58"/>
    <w:rsid w:val="00586D1C"/>
    <w:rsid w:val="005870BA"/>
    <w:rsid w:val="00587F07"/>
    <w:rsid w:val="00592AF7"/>
    <w:rsid w:val="00593AE0"/>
    <w:rsid w:val="00595238"/>
    <w:rsid w:val="0059563F"/>
    <w:rsid w:val="00595D51"/>
    <w:rsid w:val="00596FAD"/>
    <w:rsid w:val="0059784F"/>
    <w:rsid w:val="005A2624"/>
    <w:rsid w:val="005A7085"/>
    <w:rsid w:val="005B1DDB"/>
    <w:rsid w:val="005B2380"/>
    <w:rsid w:val="005B4068"/>
    <w:rsid w:val="005B47FF"/>
    <w:rsid w:val="005B4CF0"/>
    <w:rsid w:val="005B5C59"/>
    <w:rsid w:val="005C078B"/>
    <w:rsid w:val="005C1DCB"/>
    <w:rsid w:val="005C25ED"/>
    <w:rsid w:val="005C75CA"/>
    <w:rsid w:val="005D2B4F"/>
    <w:rsid w:val="005D4B55"/>
    <w:rsid w:val="005D53F8"/>
    <w:rsid w:val="005E1E28"/>
    <w:rsid w:val="005E3F40"/>
    <w:rsid w:val="005F651A"/>
    <w:rsid w:val="005F6577"/>
    <w:rsid w:val="005F6BB6"/>
    <w:rsid w:val="006030F3"/>
    <w:rsid w:val="006033E1"/>
    <w:rsid w:val="00604B73"/>
    <w:rsid w:val="00606F2E"/>
    <w:rsid w:val="006076CA"/>
    <w:rsid w:val="00607C1E"/>
    <w:rsid w:val="00607FF5"/>
    <w:rsid w:val="00610931"/>
    <w:rsid w:val="006117BC"/>
    <w:rsid w:val="0061276E"/>
    <w:rsid w:val="00616324"/>
    <w:rsid w:val="006174B4"/>
    <w:rsid w:val="0061755C"/>
    <w:rsid w:val="00620902"/>
    <w:rsid w:val="00620C3F"/>
    <w:rsid w:val="00621038"/>
    <w:rsid w:val="0062193C"/>
    <w:rsid w:val="00622766"/>
    <w:rsid w:val="006243B6"/>
    <w:rsid w:val="00626046"/>
    <w:rsid w:val="006317A3"/>
    <w:rsid w:val="00633CE6"/>
    <w:rsid w:val="00634580"/>
    <w:rsid w:val="00635CC1"/>
    <w:rsid w:val="00642F50"/>
    <w:rsid w:val="00643568"/>
    <w:rsid w:val="006448FC"/>
    <w:rsid w:val="006457D4"/>
    <w:rsid w:val="006460C8"/>
    <w:rsid w:val="00646D42"/>
    <w:rsid w:val="00650BD1"/>
    <w:rsid w:val="006518A3"/>
    <w:rsid w:val="006550FB"/>
    <w:rsid w:val="00655358"/>
    <w:rsid w:val="00657008"/>
    <w:rsid w:val="00657F45"/>
    <w:rsid w:val="0066380D"/>
    <w:rsid w:val="00665CF9"/>
    <w:rsid w:val="00665F63"/>
    <w:rsid w:val="00667E0D"/>
    <w:rsid w:val="0067028D"/>
    <w:rsid w:val="006702C3"/>
    <w:rsid w:val="0067071D"/>
    <w:rsid w:val="00671978"/>
    <w:rsid w:val="006734B3"/>
    <w:rsid w:val="006734D4"/>
    <w:rsid w:val="00673D8E"/>
    <w:rsid w:val="00674756"/>
    <w:rsid w:val="00674992"/>
    <w:rsid w:val="00674BA8"/>
    <w:rsid w:val="006802F8"/>
    <w:rsid w:val="00681CD0"/>
    <w:rsid w:val="006826E7"/>
    <w:rsid w:val="00684585"/>
    <w:rsid w:val="0068546F"/>
    <w:rsid w:val="0068586C"/>
    <w:rsid w:val="00686476"/>
    <w:rsid w:val="00687202"/>
    <w:rsid w:val="00690AA8"/>
    <w:rsid w:val="00692E14"/>
    <w:rsid w:val="00693B2A"/>
    <w:rsid w:val="00694B7F"/>
    <w:rsid w:val="00695714"/>
    <w:rsid w:val="00697D54"/>
    <w:rsid w:val="006A585B"/>
    <w:rsid w:val="006A6392"/>
    <w:rsid w:val="006B0C6F"/>
    <w:rsid w:val="006B148D"/>
    <w:rsid w:val="006B504A"/>
    <w:rsid w:val="006B76D7"/>
    <w:rsid w:val="006B7752"/>
    <w:rsid w:val="006C075E"/>
    <w:rsid w:val="006C101F"/>
    <w:rsid w:val="006C1B7A"/>
    <w:rsid w:val="006C2786"/>
    <w:rsid w:val="006C4424"/>
    <w:rsid w:val="006C5596"/>
    <w:rsid w:val="006C6759"/>
    <w:rsid w:val="006C6BDE"/>
    <w:rsid w:val="006D20FF"/>
    <w:rsid w:val="006D2630"/>
    <w:rsid w:val="006E15C0"/>
    <w:rsid w:val="006E2844"/>
    <w:rsid w:val="006E310F"/>
    <w:rsid w:val="006E36FE"/>
    <w:rsid w:val="006E3A4E"/>
    <w:rsid w:val="006E3A7F"/>
    <w:rsid w:val="006E6DCB"/>
    <w:rsid w:val="006E6FAB"/>
    <w:rsid w:val="006E7B0F"/>
    <w:rsid w:val="006E7EF2"/>
    <w:rsid w:val="006F57F0"/>
    <w:rsid w:val="006F59BE"/>
    <w:rsid w:val="006F70DB"/>
    <w:rsid w:val="00702D36"/>
    <w:rsid w:val="00707E4A"/>
    <w:rsid w:val="00710A95"/>
    <w:rsid w:val="0071114B"/>
    <w:rsid w:val="0071686A"/>
    <w:rsid w:val="00720776"/>
    <w:rsid w:val="0072142C"/>
    <w:rsid w:val="0072161E"/>
    <w:rsid w:val="007232E8"/>
    <w:rsid w:val="00723412"/>
    <w:rsid w:val="00731628"/>
    <w:rsid w:val="00731B93"/>
    <w:rsid w:val="00731BF6"/>
    <w:rsid w:val="00732142"/>
    <w:rsid w:val="00732A45"/>
    <w:rsid w:val="00733370"/>
    <w:rsid w:val="007333C2"/>
    <w:rsid w:val="00733FBF"/>
    <w:rsid w:val="00736BF9"/>
    <w:rsid w:val="00737316"/>
    <w:rsid w:val="00740E60"/>
    <w:rsid w:val="00744D32"/>
    <w:rsid w:val="00746C87"/>
    <w:rsid w:val="007519D7"/>
    <w:rsid w:val="007526A4"/>
    <w:rsid w:val="007528CC"/>
    <w:rsid w:val="007534FA"/>
    <w:rsid w:val="007613EC"/>
    <w:rsid w:val="007619EC"/>
    <w:rsid w:val="00761A0D"/>
    <w:rsid w:val="00763372"/>
    <w:rsid w:val="00765CF8"/>
    <w:rsid w:val="00765D45"/>
    <w:rsid w:val="00765DD3"/>
    <w:rsid w:val="00767E2C"/>
    <w:rsid w:val="00770A89"/>
    <w:rsid w:val="00771049"/>
    <w:rsid w:val="0077213D"/>
    <w:rsid w:val="0077497C"/>
    <w:rsid w:val="00775095"/>
    <w:rsid w:val="00777B04"/>
    <w:rsid w:val="00780F8B"/>
    <w:rsid w:val="00783673"/>
    <w:rsid w:val="00784850"/>
    <w:rsid w:val="007855BE"/>
    <w:rsid w:val="00786A73"/>
    <w:rsid w:val="007872AE"/>
    <w:rsid w:val="007905E9"/>
    <w:rsid w:val="00790A8C"/>
    <w:rsid w:val="0079178D"/>
    <w:rsid w:val="00792C94"/>
    <w:rsid w:val="00792E3B"/>
    <w:rsid w:val="00795D0B"/>
    <w:rsid w:val="0079657E"/>
    <w:rsid w:val="007A057C"/>
    <w:rsid w:val="007A192B"/>
    <w:rsid w:val="007A2C01"/>
    <w:rsid w:val="007A3391"/>
    <w:rsid w:val="007A351A"/>
    <w:rsid w:val="007A3C33"/>
    <w:rsid w:val="007A635D"/>
    <w:rsid w:val="007B13FE"/>
    <w:rsid w:val="007B45F9"/>
    <w:rsid w:val="007B70E3"/>
    <w:rsid w:val="007C400C"/>
    <w:rsid w:val="007D2BA8"/>
    <w:rsid w:val="007D50C4"/>
    <w:rsid w:val="007D5127"/>
    <w:rsid w:val="007D718B"/>
    <w:rsid w:val="007E18FE"/>
    <w:rsid w:val="007E284F"/>
    <w:rsid w:val="007E2AF3"/>
    <w:rsid w:val="007E3165"/>
    <w:rsid w:val="007E3534"/>
    <w:rsid w:val="007E7ECD"/>
    <w:rsid w:val="007F1D18"/>
    <w:rsid w:val="007F3129"/>
    <w:rsid w:val="007F427E"/>
    <w:rsid w:val="007F499B"/>
    <w:rsid w:val="007F67AB"/>
    <w:rsid w:val="007F739B"/>
    <w:rsid w:val="007F73F6"/>
    <w:rsid w:val="007F7516"/>
    <w:rsid w:val="007F78ED"/>
    <w:rsid w:val="00800069"/>
    <w:rsid w:val="00801314"/>
    <w:rsid w:val="00804C94"/>
    <w:rsid w:val="00805507"/>
    <w:rsid w:val="00805D9C"/>
    <w:rsid w:val="008103DA"/>
    <w:rsid w:val="008105C1"/>
    <w:rsid w:val="00811494"/>
    <w:rsid w:val="00816552"/>
    <w:rsid w:val="00820A4C"/>
    <w:rsid w:val="0082208B"/>
    <w:rsid w:val="0082227E"/>
    <w:rsid w:val="00822822"/>
    <w:rsid w:val="00824857"/>
    <w:rsid w:val="0082554F"/>
    <w:rsid w:val="00825CBD"/>
    <w:rsid w:val="0082742E"/>
    <w:rsid w:val="0083020F"/>
    <w:rsid w:val="0083334C"/>
    <w:rsid w:val="00837195"/>
    <w:rsid w:val="008373A2"/>
    <w:rsid w:val="0083755B"/>
    <w:rsid w:val="0084102E"/>
    <w:rsid w:val="00841D70"/>
    <w:rsid w:val="008441AB"/>
    <w:rsid w:val="008442F0"/>
    <w:rsid w:val="00844431"/>
    <w:rsid w:val="00844951"/>
    <w:rsid w:val="00847A88"/>
    <w:rsid w:val="008507D7"/>
    <w:rsid w:val="008515AD"/>
    <w:rsid w:val="00851ADB"/>
    <w:rsid w:val="0085302C"/>
    <w:rsid w:val="008533F0"/>
    <w:rsid w:val="008538A7"/>
    <w:rsid w:val="00862A00"/>
    <w:rsid w:val="00862FF5"/>
    <w:rsid w:val="0086312C"/>
    <w:rsid w:val="00864269"/>
    <w:rsid w:val="008709E3"/>
    <w:rsid w:val="008729F9"/>
    <w:rsid w:val="00875AE5"/>
    <w:rsid w:val="0087620C"/>
    <w:rsid w:val="00876A20"/>
    <w:rsid w:val="00877123"/>
    <w:rsid w:val="008839FE"/>
    <w:rsid w:val="008856E7"/>
    <w:rsid w:val="008857BC"/>
    <w:rsid w:val="008864EA"/>
    <w:rsid w:val="008908A5"/>
    <w:rsid w:val="0089118B"/>
    <w:rsid w:val="00891DB8"/>
    <w:rsid w:val="00892286"/>
    <w:rsid w:val="0089646E"/>
    <w:rsid w:val="008970B7"/>
    <w:rsid w:val="008A1274"/>
    <w:rsid w:val="008A6CBC"/>
    <w:rsid w:val="008A715B"/>
    <w:rsid w:val="008A79FF"/>
    <w:rsid w:val="008B0AFC"/>
    <w:rsid w:val="008B25BB"/>
    <w:rsid w:val="008B3EE4"/>
    <w:rsid w:val="008B4A2F"/>
    <w:rsid w:val="008B4E7F"/>
    <w:rsid w:val="008B62F4"/>
    <w:rsid w:val="008B6EA7"/>
    <w:rsid w:val="008B7180"/>
    <w:rsid w:val="008C2051"/>
    <w:rsid w:val="008C2AAA"/>
    <w:rsid w:val="008C335D"/>
    <w:rsid w:val="008C48CA"/>
    <w:rsid w:val="008C523D"/>
    <w:rsid w:val="008C5D12"/>
    <w:rsid w:val="008C6348"/>
    <w:rsid w:val="008D72B6"/>
    <w:rsid w:val="008D7E35"/>
    <w:rsid w:val="008E1A59"/>
    <w:rsid w:val="008E244C"/>
    <w:rsid w:val="008E3C9F"/>
    <w:rsid w:val="008E6068"/>
    <w:rsid w:val="008E617B"/>
    <w:rsid w:val="008F1FF8"/>
    <w:rsid w:val="008F5BA2"/>
    <w:rsid w:val="0090026A"/>
    <w:rsid w:val="00903B6E"/>
    <w:rsid w:val="009078A9"/>
    <w:rsid w:val="00912EAB"/>
    <w:rsid w:val="0091665B"/>
    <w:rsid w:val="00925C72"/>
    <w:rsid w:val="0092790B"/>
    <w:rsid w:val="00927CA4"/>
    <w:rsid w:val="0093135E"/>
    <w:rsid w:val="00933B53"/>
    <w:rsid w:val="00933FF5"/>
    <w:rsid w:val="00934424"/>
    <w:rsid w:val="00937EAF"/>
    <w:rsid w:val="00940D26"/>
    <w:rsid w:val="00942C35"/>
    <w:rsid w:val="00944C8B"/>
    <w:rsid w:val="0095373B"/>
    <w:rsid w:val="009554CF"/>
    <w:rsid w:val="009554E0"/>
    <w:rsid w:val="009557AE"/>
    <w:rsid w:val="009566CF"/>
    <w:rsid w:val="00956A70"/>
    <w:rsid w:val="00956EDD"/>
    <w:rsid w:val="0096015B"/>
    <w:rsid w:val="00962800"/>
    <w:rsid w:val="00962945"/>
    <w:rsid w:val="00963DB5"/>
    <w:rsid w:val="009658FC"/>
    <w:rsid w:val="00965914"/>
    <w:rsid w:val="009671DB"/>
    <w:rsid w:val="0096720F"/>
    <w:rsid w:val="0097034B"/>
    <w:rsid w:val="00973679"/>
    <w:rsid w:val="0097389A"/>
    <w:rsid w:val="0097473B"/>
    <w:rsid w:val="00974746"/>
    <w:rsid w:val="00974EFB"/>
    <w:rsid w:val="009755D7"/>
    <w:rsid w:val="009776BC"/>
    <w:rsid w:val="00977A02"/>
    <w:rsid w:val="00982004"/>
    <w:rsid w:val="00982C9A"/>
    <w:rsid w:val="0098444A"/>
    <w:rsid w:val="00985BD2"/>
    <w:rsid w:val="009864E5"/>
    <w:rsid w:val="00990EA5"/>
    <w:rsid w:val="009959B9"/>
    <w:rsid w:val="009A2A8C"/>
    <w:rsid w:val="009A2E64"/>
    <w:rsid w:val="009A7B09"/>
    <w:rsid w:val="009B02F9"/>
    <w:rsid w:val="009B17F6"/>
    <w:rsid w:val="009B22B0"/>
    <w:rsid w:val="009B2A77"/>
    <w:rsid w:val="009B2B64"/>
    <w:rsid w:val="009B3305"/>
    <w:rsid w:val="009B3394"/>
    <w:rsid w:val="009B494C"/>
    <w:rsid w:val="009B5CAB"/>
    <w:rsid w:val="009B64FF"/>
    <w:rsid w:val="009B70BB"/>
    <w:rsid w:val="009B77DC"/>
    <w:rsid w:val="009C3EF1"/>
    <w:rsid w:val="009D37CF"/>
    <w:rsid w:val="009D749F"/>
    <w:rsid w:val="009E5520"/>
    <w:rsid w:val="009F04E7"/>
    <w:rsid w:val="009F0F3D"/>
    <w:rsid w:val="009F216F"/>
    <w:rsid w:val="009F28EA"/>
    <w:rsid w:val="009F53C8"/>
    <w:rsid w:val="009F5A86"/>
    <w:rsid w:val="009F5C86"/>
    <w:rsid w:val="00A01087"/>
    <w:rsid w:val="00A03A1B"/>
    <w:rsid w:val="00A05A8A"/>
    <w:rsid w:val="00A05C01"/>
    <w:rsid w:val="00A05FC2"/>
    <w:rsid w:val="00A06710"/>
    <w:rsid w:val="00A12E43"/>
    <w:rsid w:val="00A148BE"/>
    <w:rsid w:val="00A159C4"/>
    <w:rsid w:val="00A16BAC"/>
    <w:rsid w:val="00A23FFD"/>
    <w:rsid w:val="00A2425C"/>
    <w:rsid w:val="00A2447E"/>
    <w:rsid w:val="00A24AB4"/>
    <w:rsid w:val="00A2692F"/>
    <w:rsid w:val="00A3275C"/>
    <w:rsid w:val="00A3353A"/>
    <w:rsid w:val="00A33B1A"/>
    <w:rsid w:val="00A33C86"/>
    <w:rsid w:val="00A3482D"/>
    <w:rsid w:val="00A34AC9"/>
    <w:rsid w:val="00A36855"/>
    <w:rsid w:val="00A376FA"/>
    <w:rsid w:val="00A4057D"/>
    <w:rsid w:val="00A415DB"/>
    <w:rsid w:val="00A436FF"/>
    <w:rsid w:val="00A46971"/>
    <w:rsid w:val="00A5072B"/>
    <w:rsid w:val="00A50796"/>
    <w:rsid w:val="00A50FFF"/>
    <w:rsid w:val="00A519CF"/>
    <w:rsid w:val="00A528BF"/>
    <w:rsid w:val="00A54470"/>
    <w:rsid w:val="00A55F88"/>
    <w:rsid w:val="00A57C79"/>
    <w:rsid w:val="00A60D8A"/>
    <w:rsid w:val="00A61EEA"/>
    <w:rsid w:val="00A62E3F"/>
    <w:rsid w:val="00A65866"/>
    <w:rsid w:val="00A6695A"/>
    <w:rsid w:val="00A67343"/>
    <w:rsid w:val="00A70CC9"/>
    <w:rsid w:val="00A719F7"/>
    <w:rsid w:val="00A76AB9"/>
    <w:rsid w:val="00A80BA1"/>
    <w:rsid w:val="00A8215C"/>
    <w:rsid w:val="00A82ED9"/>
    <w:rsid w:val="00A836F1"/>
    <w:rsid w:val="00A8386F"/>
    <w:rsid w:val="00A8674D"/>
    <w:rsid w:val="00A87215"/>
    <w:rsid w:val="00A91656"/>
    <w:rsid w:val="00A93B78"/>
    <w:rsid w:val="00A971EB"/>
    <w:rsid w:val="00AA1C2D"/>
    <w:rsid w:val="00AA3F4A"/>
    <w:rsid w:val="00AB0663"/>
    <w:rsid w:val="00AB227C"/>
    <w:rsid w:val="00AC41E4"/>
    <w:rsid w:val="00AC46C2"/>
    <w:rsid w:val="00AC49FF"/>
    <w:rsid w:val="00AC5CC8"/>
    <w:rsid w:val="00AC6312"/>
    <w:rsid w:val="00AD06DD"/>
    <w:rsid w:val="00AD0B71"/>
    <w:rsid w:val="00AD2A29"/>
    <w:rsid w:val="00AD4445"/>
    <w:rsid w:val="00AD5C06"/>
    <w:rsid w:val="00AD6082"/>
    <w:rsid w:val="00AD689B"/>
    <w:rsid w:val="00AE0AC4"/>
    <w:rsid w:val="00AE16FA"/>
    <w:rsid w:val="00AE212C"/>
    <w:rsid w:val="00AE4F50"/>
    <w:rsid w:val="00AE5278"/>
    <w:rsid w:val="00AE52AA"/>
    <w:rsid w:val="00AE55EF"/>
    <w:rsid w:val="00AE5A9F"/>
    <w:rsid w:val="00AE7549"/>
    <w:rsid w:val="00AF100C"/>
    <w:rsid w:val="00AF4706"/>
    <w:rsid w:val="00AF7752"/>
    <w:rsid w:val="00B016AD"/>
    <w:rsid w:val="00B028AD"/>
    <w:rsid w:val="00B05149"/>
    <w:rsid w:val="00B07F22"/>
    <w:rsid w:val="00B07F6E"/>
    <w:rsid w:val="00B10463"/>
    <w:rsid w:val="00B128BC"/>
    <w:rsid w:val="00B138C4"/>
    <w:rsid w:val="00B14964"/>
    <w:rsid w:val="00B15CB4"/>
    <w:rsid w:val="00B167B8"/>
    <w:rsid w:val="00B179CE"/>
    <w:rsid w:val="00B2053A"/>
    <w:rsid w:val="00B20D37"/>
    <w:rsid w:val="00B216D4"/>
    <w:rsid w:val="00B23268"/>
    <w:rsid w:val="00B234BC"/>
    <w:rsid w:val="00B30301"/>
    <w:rsid w:val="00B32EE0"/>
    <w:rsid w:val="00B32FC9"/>
    <w:rsid w:val="00B339BF"/>
    <w:rsid w:val="00B34CBB"/>
    <w:rsid w:val="00B40207"/>
    <w:rsid w:val="00B41E7F"/>
    <w:rsid w:val="00B44A8D"/>
    <w:rsid w:val="00B44C1B"/>
    <w:rsid w:val="00B46AEC"/>
    <w:rsid w:val="00B47D04"/>
    <w:rsid w:val="00B47D17"/>
    <w:rsid w:val="00B5072E"/>
    <w:rsid w:val="00B50742"/>
    <w:rsid w:val="00B513C2"/>
    <w:rsid w:val="00B51A0B"/>
    <w:rsid w:val="00B51A3E"/>
    <w:rsid w:val="00B5362F"/>
    <w:rsid w:val="00B53777"/>
    <w:rsid w:val="00B56860"/>
    <w:rsid w:val="00B56A6E"/>
    <w:rsid w:val="00B6076B"/>
    <w:rsid w:val="00B60CE1"/>
    <w:rsid w:val="00B6205E"/>
    <w:rsid w:val="00B626A8"/>
    <w:rsid w:val="00B62D1B"/>
    <w:rsid w:val="00B62F87"/>
    <w:rsid w:val="00B702CA"/>
    <w:rsid w:val="00B70D6E"/>
    <w:rsid w:val="00B72FA2"/>
    <w:rsid w:val="00B7507B"/>
    <w:rsid w:val="00B815AC"/>
    <w:rsid w:val="00B831DD"/>
    <w:rsid w:val="00B837EA"/>
    <w:rsid w:val="00B91173"/>
    <w:rsid w:val="00B91DF2"/>
    <w:rsid w:val="00B91FDE"/>
    <w:rsid w:val="00B92CE9"/>
    <w:rsid w:val="00B93F7E"/>
    <w:rsid w:val="00B9422E"/>
    <w:rsid w:val="00B954DE"/>
    <w:rsid w:val="00BA0A86"/>
    <w:rsid w:val="00BA0BB1"/>
    <w:rsid w:val="00BA34FF"/>
    <w:rsid w:val="00BA3527"/>
    <w:rsid w:val="00BA3D70"/>
    <w:rsid w:val="00BA467C"/>
    <w:rsid w:val="00BA4772"/>
    <w:rsid w:val="00BA4B91"/>
    <w:rsid w:val="00BA55C0"/>
    <w:rsid w:val="00BB45D4"/>
    <w:rsid w:val="00BB6A7F"/>
    <w:rsid w:val="00BB6FCB"/>
    <w:rsid w:val="00BC0730"/>
    <w:rsid w:val="00BC16BF"/>
    <w:rsid w:val="00BC1A1E"/>
    <w:rsid w:val="00BC420C"/>
    <w:rsid w:val="00BC5467"/>
    <w:rsid w:val="00BC7C1E"/>
    <w:rsid w:val="00BC7FC3"/>
    <w:rsid w:val="00BD057E"/>
    <w:rsid w:val="00BD0F86"/>
    <w:rsid w:val="00BD2AD5"/>
    <w:rsid w:val="00BD2FCA"/>
    <w:rsid w:val="00BD3165"/>
    <w:rsid w:val="00BD31D0"/>
    <w:rsid w:val="00BD3C72"/>
    <w:rsid w:val="00BE3F54"/>
    <w:rsid w:val="00BE489C"/>
    <w:rsid w:val="00BE710A"/>
    <w:rsid w:val="00BF4E16"/>
    <w:rsid w:val="00BF4F92"/>
    <w:rsid w:val="00BF6A2F"/>
    <w:rsid w:val="00C00434"/>
    <w:rsid w:val="00C0118E"/>
    <w:rsid w:val="00C050C1"/>
    <w:rsid w:val="00C05249"/>
    <w:rsid w:val="00C055EF"/>
    <w:rsid w:val="00C10982"/>
    <w:rsid w:val="00C10A15"/>
    <w:rsid w:val="00C11A51"/>
    <w:rsid w:val="00C12880"/>
    <w:rsid w:val="00C12EAD"/>
    <w:rsid w:val="00C13896"/>
    <w:rsid w:val="00C13BAA"/>
    <w:rsid w:val="00C15F29"/>
    <w:rsid w:val="00C236C7"/>
    <w:rsid w:val="00C23DF6"/>
    <w:rsid w:val="00C24284"/>
    <w:rsid w:val="00C24E1F"/>
    <w:rsid w:val="00C30360"/>
    <w:rsid w:val="00C31A43"/>
    <w:rsid w:val="00C32AE7"/>
    <w:rsid w:val="00C35DF2"/>
    <w:rsid w:val="00C36280"/>
    <w:rsid w:val="00C43B1A"/>
    <w:rsid w:val="00C44404"/>
    <w:rsid w:val="00C53236"/>
    <w:rsid w:val="00C5589D"/>
    <w:rsid w:val="00C601CA"/>
    <w:rsid w:val="00C64ABA"/>
    <w:rsid w:val="00C64F21"/>
    <w:rsid w:val="00C6599C"/>
    <w:rsid w:val="00C671FF"/>
    <w:rsid w:val="00C7406B"/>
    <w:rsid w:val="00C75AFB"/>
    <w:rsid w:val="00C76FC5"/>
    <w:rsid w:val="00C8116C"/>
    <w:rsid w:val="00C826A3"/>
    <w:rsid w:val="00C82E33"/>
    <w:rsid w:val="00C8355D"/>
    <w:rsid w:val="00C83BE4"/>
    <w:rsid w:val="00C843F3"/>
    <w:rsid w:val="00C85B5D"/>
    <w:rsid w:val="00C870F0"/>
    <w:rsid w:val="00C87BDD"/>
    <w:rsid w:val="00C901C1"/>
    <w:rsid w:val="00C909FA"/>
    <w:rsid w:val="00C9380A"/>
    <w:rsid w:val="00C971E8"/>
    <w:rsid w:val="00CA1D6B"/>
    <w:rsid w:val="00CA1FBD"/>
    <w:rsid w:val="00CA343F"/>
    <w:rsid w:val="00CA5A14"/>
    <w:rsid w:val="00CA64C0"/>
    <w:rsid w:val="00CB23DE"/>
    <w:rsid w:val="00CB38FE"/>
    <w:rsid w:val="00CB4384"/>
    <w:rsid w:val="00CB5354"/>
    <w:rsid w:val="00CB62C2"/>
    <w:rsid w:val="00CC470E"/>
    <w:rsid w:val="00CC4F52"/>
    <w:rsid w:val="00CD02D3"/>
    <w:rsid w:val="00CD1EB8"/>
    <w:rsid w:val="00CD30F8"/>
    <w:rsid w:val="00CD3FC3"/>
    <w:rsid w:val="00CD53A2"/>
    <w:rsid w:val="00CD5858"/>
    <w:rsid w:val="00CD62B6"/>
    <w:rsid w:val="00CD6B41"/>
    <w:rsid w:val="00CE2B56"/>
    <w:rsid w:val="00CE3378"/>
    <w:rsid w:val="00CE367C"/>
    <w:rsid w:val="00CE7445"/>
    <w:rsid w:val="00CF1841"/>
    <w:rsid w:val="00CF1C69"/>
    <w:rsid w:val="00CF3218"/>
    <w:rsid w:val="00CF5741"/>
    <w:rsid w:val="00CF5C39"/>
    <w:rsid w:val="00D02ED7"/>
    <w:rsid w:val="00D03C3F"/>
    <w:rsid w:val="00D058E6"/>
    <w:rsid w:val="00D06A75"/>
    <w:rsid w:val="00D10108"/>
    <w:rsid w:val="00D12B58"/>
    <w:rsid w:val="00D12BCD"/>
    <w:rsid w:val="00D1579F"/>
    <w:rsid w:val="00D17DAC"/>
    <w:rsid w:val="00D2190F"/>
    <w:rsid w:val="00D30921"/>
    <w:rsid w:val="00D30DBD"/>
    <w:rsid w:val="00D310D3"/>
    <w:rsid w:val="00D31912"/>
    <w:rsid w:val="00D32868"/>
    <w:rsid w:val="00D33856"/>
    <w:rsid w:val="00D34CEA"/>
    <w:rsid w:val="00D3585A"/>
    <w:rsid w:val="00D3658B"/>
    <w:rsid w:val="00D3659B"/>
    <w:rsid w:val="00D3779E"/>
    <w:rsid w:val="00D401ED"/>
    <w:rsid w:val="00D40D57"/>
    <w:rsid w:val="00D422E0"/>
    <w:rsid w:val="00D425A4"/>
    <w:rsid w:val="00D45FC2"/>
    <w:rsid w:val="00D4697B"/>
    <w:rsid w:val="00D469C2"/>
    <w:rsid w:val="00D4741C"/>
    <w:rsid w:val="00D47C87"/>
    <w:rsid w:val="00D50F63"/>
    <w:rsid w:val="00D51755"/>
    <w:rsid w:val="00D52B23"/>
    <w:rsid w:val="00D53350"/>
    <w:rsid w:val="00D535B7"/>
    <w:rsid w:val="00D544DD"/>
    <w:rsid w:val="00D54775"/>
    <w:rsid w:val="00D54ECA"/>
    <w:rsid w:val="00D563A6"/>
    <w:rsid w:val="00D56E10"/>
    <w:rsid w:val="00D60CB0"/>
    <w:rsid w:val="00D62932"/>
    <w:rsid w:val="00D63E03"/>
    <w:rsid w:val="00D64B5D"/>
    <w:rsid w:val="00D65BBA"/>
    <w:rsid w:val="00D66842"/>
    <w:rsid w:val="00D67054"/>
    <w:rsid w:val="00D67158"/>
    <w:rsid w:val="00D6795A"/>
    <w:rsid w:val="00D725F4"/>
    <w:rsid w:val="00D72B4D"/>
    <w:rsid w:val="00D80BD1"/>
    <w:rsid w:val="00D8408A"/>
    <w:rsid w:val="00D86E48"/>
    <w:rsid w:val="00D90B67"/>
    <w:rsid w:val="00D92526"/>
    <w:rsid w:val="00D94DD9"/>
    <w:rsid w:val="00D94FC3"/>
    <w:rsid w:val="00DA11A3"/>
    <w:rsid w:val="00DA1668"/>
    <w:rsid w:val="00DA29E1"/>
    <w:rsid w:val="00DA5168"/>
    <w:rsid w:val="00DB2834"/>
    <w:rsid w:val="00DB31DD"/>
    <w:rsid w:val="00DB333A"/>
    <w:rsid w:val="00DB4F38"/>
    <w:rsid w:val="00DB7E1D"/>
    <w:rsid w:val="00DC07D1"/>
    <w:rsid w:val="00DC0C64"/>
    <w:rsid w:val="00DC196D"/>
    <w:rsid w:val="00DC2CEC"/>
    <w:rsid w:val="00DC2F00"/>
    <w:rsid w:val="00DC5D61"/>
    <w:rsid w:val="00DD0BA3"/>
    <w:rsid w:val="00DD1136"/>
    <w:rsid w:val="00DD5CA0"/>
    <w:rsid w:val="00DD67C6"/>
    <w:rsid w:val="00DD698E"/>
    <w:rsid w:val="00DD7221"/>
    <w:rsid w:val="00DE106F"/>
    <w:rsid w:val="00DE2C21"/>
    <w:rsid w:val="00DE338A"/>
    <w:rsid w:val="00DE3B59"/>
    <w:rsid w:val="00DE4A75"/>
    <w:rsid w:val="00DE6FC5"/>
    <w:rsid w:val="00DE77B7"/>
    <w:rsid w:val="00DF4787"/>
    <w:rsid w:val="00DF5035"/>
    <w:rsid w:val="00DF63CA"/>
    <w:rsid w:val="00DF69B1"/>
    <w:rsid w:val="00DF6FAD"/>
    <w:rsid w:val="00E00536"/>
    <w:rsid w:val="00E03933"/>
    <w:rsid w:val="00E0532E"/>
    <w:rsid w:val="00E05A29"/>
    <w:rsid w:val="00E06C2C"/>
    <w:rsid w:val="00E077A3"/>
    <w:rsid w:val="00E11893"/>
    <w:rsid w:val="00E1280F"/>
    <w:rsid w:val="00E14B62"/>
    <w:rsid w:val="00E15747"/>
    <w:rsid w:val="00E15BCC"/>
    <w:rsid w:val="00E16DAF"/>
    <w:rsid w:val="00E170D1"/>
    <w:rsid w:val="00E170F5"/>
    <w:rsid w:val="00E17FD1"/>
    <w:rsid w:val="00E21B54"/>
    <w:rsid w:val="00E23BC5"/>
    <w:rsid w:val="00E31ACA"/>
    <w:rsid w:val="00E31E22"/>
    <w:rsid w:val="00E32E6E"/>
    <w:rsid w:val="00E33E33"/>
    <w:rsid w:val="00E34C8E"/>
    <w:rsid w:val="00E34FAC"/>
    <w:rsid w:val="00E3512F"/>
    <w:rsid w:val="00E370EA"/>
    <w:rsid w:val="00E4088A"/>
    <w:rsid w:val="00E41AB0"/>
    <w:rsid w:val="00E465C1"/>
    <w:rsid w:val="00E50381"/>
    <w:rsid w:val="00E5111C"/>
    <w:rsid w:val="00E536D9"/>
    <w:rsid w:val="00E53BF0"/>
    <w:rsid w:val="00E54238"/>
    <w:rsid w:val="00E556EF"/>
    <w:rsid w:val="00E57271"/>
    <w:rsid w:val="00E62431"/>
    <w:rsid w:val="00E63960"/>
    <w:rsid w:val="00E65F3F"/>
    <w:rsid w:val="00E67854"/>
    <w:rsid w:val="00E71091"/>
    <w:rsid w:val="00E71691"/>
    <w:rsid w:val="00E72596"/>
    <w:rsid w:val="00E72D2A"/>
    <w:rsid w:val="00E73E22"/>
    <w:rsid w:val="00E771A9"/>
    <w:rsid w:val="00E775F9"/>
    <w:rsid w:val="00E7792C"/>
    <w:rsid w:val="00E80290"/>
    <w:rsid w:val="00E82E6B"/>
    <w:rsid w:val="00E837E6"/>
    <w:rsid w:val="00E85217"/>
    <w:rsid w:val="00E8575D"/>
    <w:rsid w:val="00E86C3D"/>
    <w:rsid w:val="00E90A80"/>
    <w:rsid w:val="00E927EA"/>
    <w:rsid w:val="00E95EB1"/>
    <w:rsid w:val="00E96983"/>
    <w:rsid w:val="00E97CA0"/>
    <w:rsid w:val="00EA207D"/>
    <w:rsid w:val="00EA55CD"/>
    <w:rsid w:val="00EA630E"/>
    <w:rsid w:val="00EA6D5C"/>
    <w:rsid w:val="00EB0D56"/>
    <w:rsid w:val="00EB4144"/>
    <w:rsid w:val="00EB522B"/>
    <w:rsid w:val="00EC007B"/>
    <w:rsid w:val="00EC00A5"/>
    <w:rsid w:val="00EC01F9"/>
    <w:rsid w:val="00EC0690"/>
    <w:rsid w:val="00EC0DC1"/>
    <w:rsid w:val="00EC4FAC"/>
    <w:rsid w:val="00EC6963"/>
    <w:rsid w:val="00EC71D8"/>
    <w:rsid w:val="00ED1F3B"/>
    <w:rsid w:val="00ED292E"/>
    <w:rsid w:val="00ED3344"/>
    <w:rsid w:val="00ED3EB8"/>
    <w:rsid w:val="00ED4069"/>
    <w:rsid w:val="00ED51CF"/>
    <w:rsid w:val="00ED536A"/>
    <w:rsid w:val="00ED6DCD"/>
    <w:rsid w:val="00ED7345"/>
    <w:rsid w:val="00ED77A9"/>
    <w:rsid w:val="00EE13A2"/>
    <w:rsid w:val="00EE2CA1"/>
    <w:rsid w:val="00EF04B1"/>
    <w:rsid w:val="00EF082F"/>
    <w:rsid w:val="00EF1488"/>
    <w:rsid w:val="00EF148D"/>
    <w:rsid w:val="00EF1AD3"/>
    <w:rsid w:val="00EF35E2"/>
    <w:rsid w:val="00EF5332"/>
    <w:rsid w:val="00F00F45"/>
    <w:rsid w:val="00F0282A"/>
    <w:rsid w:val="00F02CD0"/>
    <w:rsid w:val="00F0337C"/>
    <w:rsid w:val="00F04FAD"/>
    <w:rsid w:val="00F0726D"/>
    <w:rsid w:val="00F102AB"/>
    <w:rsid w:val="00F10E9B"/>
    <w:rsid w:val="00F14058"/>
    <w:rsid w:val="00F17C5C"/>
    <w:rsid w:val="00F17F6B"/>
    <w:rsid w:val="00F20DC5"/>
    <w:rsid w:val="00F22015"/>
    <w:rsid w:val="00F22033"/>
    <w:rsid w:val="00F22366"/>
    <w:rsid w:val="00F22A43"/>
    <w:rsid w:val="00F22D4B"/>
    <w:rsid w:val="00F23B21"/>
    <w:rsid w:val="00F23CBB"/>
    <w:rsid w:val="00F24914"/>
    <w:rsid w:val="00F24C32"/>
    <w:rsid w:val="00F255D0"/>
    <w:rsid w:val="00F2641D"/>
    <w:rsid w:val="00F27F19"/>
    <w:rsid w:val="00F30608"/>
    <w:rsid w:val="00F313BD"/>
    <w:rsid w:val="00F33D89"/>
    <w:rsid w:val="00F34A25"/>
    <w:rsid w:val="00F376C3"/>
    <w:rsid w:val="00F4090B"/>
    <w:rsid w:val="00F409F4"/>
    <w:rsid w:val="00F413E2"/>
    <w:rsid w:val="00F42CC2"/>
    <w:rsid w:val="00F42E63"/>
    <w:rsid w:val="00F43B93"/>
    <w:rsid w:val="00F44D9B"/>
    <w:rsid w:val="00F46894"/>
    <w:rsid w:val="00F5048D"/>
    <w:rsid w:val="00F528F1"/>
    <w:rsid w:val="00F548AB"/>
    <w:rsid w:val="00F6096E"/>
    <w:rsid w:val="00F667F8"/>
    <w:rsid w:val="00F677E3"/>
    <w:rsid w:val="00F678D2"/>
    <w:rsid w:val="00F7410A"/>
    <w:rsid w:val="00F74987"/>
    <w:rsid w:val="00F74E50"/>
    <w:rsid w:val="00F7526A"/>
    <w:rsid w:val="00F80A96"/>
    <w:rsid w:val="00F849BD"/>
    <w:rsid w:val="00F850D9"/>
    <w:rsid w:val="00F867E5"/>
    <w:rsid w:val="00F91784"/>
    <w:rsid w:val="00FA08E0"/>
    <w:rsid w:val="00FA1E93"/>
    <w:rsid w:val="00FA257B"/>
    <w:rsid w:val="00FB1212"/>
    <w:rsid w:val="00FB14CE"/>
    <w:rsid w:val="00FB19ED"/>
    <w:rsid w:val="00FB4ED3"/>
    <w:rsid w:val="00FC0247"/>
    <w:rsid w:val="00FC262E"/>
    <w:rsid w:val="00FC7131"/>
    <w:rsid w:val="00FD0FC1"/>
    <w:rsid w:val="00FD27CF"/>
    <w:rsid w:val="00FE65FD"/>
    <w:rsid w:val="00FF0201"/>
    <w:rsid w:val="00FF0BD0"/>
    <w:rsid w:val="00FF7851"/>
    <w:rsid w:val="00FF79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0A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AD"/>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lockText">
    <w:name w:val="Block Text"/>
    <w:basedOn w:val="Normal"/>
    <w:semiHidden/>
    <w:pPr>
      <w:spacing w:line="240" w:lineRule="auto"/>
      <w:ind w:left="113" w:right="113"/>
    </w:pPr>
    <w:rPr>
      <w:rFonts w:ascii="Times New Roman" w:hAnsi="Times New Roman"/>
      <w:b/>
      <w:bCs/>
      <w:szCs w:val="24"/>
      <w:lang w:val="en-IE"/>
    </w:rPr>
  </w:style>
  <w:style w:type="paragraph" w:styleId="BodyText">
    <w:name w:val="Body Text"/>
    <w:basedOn w:val="Normal"/>
    <w:semiHidden/>
    <w:pPr>
      <w:spacing w:line="240" w:lineRule="auto"/>
    </w:pPr>
    <w:rPr>
      <w:rFonts w:ascii="Times New Roman" w:hAnsi="Times New Roman"/>
      <w:lang w:val="en-IE"/>
    </w:rPr>
  </w:style>
  <w:style w:type="paragraph" w:customStyle="1" w:styleId="TI">
    <w:name w:val="TI"/>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szCs w:val="24"/>
      <w:lang w:val="en-US" w:eastAsia="en-US"/>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bCs/>
      <w:sz w:val="32"/>
      <w:szCs w:val="24"/>
      <w:lang w:val="en-IE"/>
    </w:rPr>
  </w:style>
  <w:style w:type="paragraph" w:styleId="Subtitle">
    <w:name w:val="Subtitle"/>
    <w:basedOn w:val="Normal"/>
    <w:qFormat/>
    <w:pPr>
      <w:spacing w:line="240" w:lineRule="auto"/>
      <w:jc w:val="center"/>
    </w:pPr>
    <w:rPr>
      <w:rFonts w:ascii="Times New Roman" w:hAnsi="Times New Roman"/>
      <w:b/>
      <w:bCs/>
      <w:sz w:val="32"/>
      <w:szCs w:val="24"/>
      <w:lang w:val="en-IE"/>
    </w:rPr>
  </w:style>
  <w:style w:type="paragraph" w:styleId="FootnoteText">
    <w:name w:val="footnote text"/>
    <w:basedOn w:val="Normal"/>
    <w:semiHidden/>
    <w:pPr>
      <w:spacing w:line="240" w:lineRule="auto"/>
    </w:pPr>
    <w:rPr>
      <w:rFonts w:ascii="Times New Roman" w:hAnsi="Times New Roman"/>
      <w:sz w:val="20"/>
      <w:lang w:val="en-IE"/>
    </w:rPr>
  </w:style>
  <w:style w:type="paragraph" w:styleId="BodyTextIndent">
    <w:name w:val="Body Text Indent"/>
    <w:basedOn w:val="Normal"/>
    <w:semiHidden/>
    <w:pPr>
      <w:spacing w:line="240" w:lineRule="auto"/>
      <w:ind w:left="720"/>
    </w:pPr>
    <w:rPr>
      <w:rFonts w:ascii="Times New Roman" w:hAnsi="Times New Roman"/>
    </w:rPr>
  </w:style>
  <w:style w:type="paragraph" w:styleId="BodyTextIndent2">
    <w:name w:val="Body Text Indent 2"/>
    <w:basedOn w:val="Normal"/>
    <w:semiHidden/>
    <w:pPr>
      <w:spacing w:line="240" w:lineRule="auto"/>
      <w:ind w:left="720"/>
      <w:jc w:val="both"/>
    </w:pPr>
    <w:rPr>
      <w:rFonts w:ascii="Times New Roman" w:hAnsi="Times New Roman"/>
    </w:rPr>
  </w:style>
  <w:style w:type="paragraph" w:styleId="Revision">
    <w:name w:val="Revision"/>
    <w:hidden/>
    <w:uiPriority w:val="99"/>
    <w:semiHidden/>
    <w:rsid w:val="0030320E"/>
    <w:rPr>
      <w:rFonts w:ascii="Verdana" w:hAnsi="Verdana"/>
      <w:sz w:val="22"/>
      <w:lang w:val="en-GB" w:eastAsia="en-US"/>
    </w:rPr>
  </w:style>
  <w:style w:type="paragraph" w:styleId="BalloonText">
    <w:name w:val="Balloon Text"/>
    <w:basedOn w:val="Normal"/>
    <w:link w:val="BalloonTextChar"/>
    <w:uiPriority w:val="99"/>
    <w:semiHidden/>
    <w:unhideWhenUsed/>
    <w:rsid w:val="003032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320E"/>
    <w:rPr>
      <w:rFonts w:ascii="Tahoma" w:hAnsi="Tahoma" w:cs="Tahoma"/>
      <w:sz w:val="16"/>
      <w:szCs w:val="16"/>
      <w:lang w:val="en-GB" w:eastAsia="en-US"/>
    </w:rPr>
  </w:style>
  <w:style w:type="character" w:customStyle="1" w:styleId="HeaderChar">
    <w:name w:val="Header Char"/>
    <w:link w:val="Header"/>
    <w:uiPriority w:val="99"/>
    <w:rsid w:val="004A35A6"/>
    <w:rPr>
      <w:rFonts w:ascii="Verdana" w:hAnsi="Verdana"/>
      <w:sz w:val="22"/>
      <w:lang w:val="en-GB" w:eastAsia="en-US"/>
    </w:rPr>
  </w:style>
  <w:style w:type="paragraph" w:customStyle="1" w:styleId="Noparagraphstyle">
    <w:name w:val="[No paragraph style]"/>
    <w:uiPriority w:val="99"/>
    <w:rsid w:val="004A35A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4A35A6"/>
    <w:rPr>
      <w:rFonts w:ascii="HelveticaNeueLTStd-Bd" w:hAnsi="HelveticaNeueLTStd-Bd" w:hint="default"/>
      <w:b/>
      <w:bCs w:val="0"/>
    </w:rPr>
  </w:style>
  <w:style w:type="character" w:styleId="Hyperlink">
    <w:name w:val="Hyperlink"/>
    <w:uiPriority w:val="99"/>
    <w:unhideWhenUsed/>
    <w:rsid w:val="009B70BB"/>
    <w:rPr>
      <w:color w:val="0000FF"/>
      <w:u w:val="single"/>
    </w:rPr>
  </w:style>
  <w:style w:type="paragraph" w:styleId="ListParagraph">
    <w:name w:val="List Paragraph"/>
    <w:basedOn w:val="Normal"/>
    <w:uiPriority w:val="34"/>
    <w:qFormat/>
    <w:rsid w:val="000E0B99"/>
    <w:pPr>
      <w:ind w:left="720"/>
    </w:pPr>
  </w:style>
  <w:style w:type="table" w:styleId="TableGrid">
    <w:name w:val="Table Grid"/>
    <w:basedOn w:val="TableNormal"/>
    <w:uiPriority w:val="59"/>
    <w:rsid w:val="004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A8C"/>
    <w:rPr>
      <w:sz w:val="16"/>
      <w:szCs w:val="16"/>
    </w:rPr>
  </w:style>
  <w:style w:type="paragraph" w:styleId="CommentText">
    <w:name w:val="annotation text"/>
    <w:basedOn w:val="Normal"/>
    <w:link w:val="CommentTextChar"/>
    <w:uiPriority w:val="99"/>
    <w:semiHidden/>
    <w:unhideWhenUsed/>
    <w:rsid w:val="00790A8C"/>
    <w:pPr>
      <w:spacing w:line="240" w:lineRule="auto"/>
    </w:pPr>
    <w:rPr>
      <w:sz w:val="20"/>
    </w:rPr>
  </w:style>
  <w:style w:type="character" w:customStyle="1" w:styleId="CommentTextChar">
    <w:name w:val="Comment Text Char"/>
    <w:basedOn w:val="DefaultParagraphFont"/>
    <w:link w:val="CommentText"/>
    <w:uiPriority w:val="99"/>
    <w:semiHidden/>
    <w:rsid w:val="00790A8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90A8C"/>
    <w:rPr>
      <w:b/>
      <w:bCs/>
    </w:rPr>
  </w:style>
  <w:style w:type="character" w:customStyle="1" w:styleId="CommentSubjectChar">
    <w:name w:val="Comment Subject Char"/>
    <w:basedOn w:val="CommentTextChar"/>
    <w:link w:val="CommentSubject"/>
    <w:uiPriority w:val="99"/>
    <w:semiHidden/>
    <w:rsid w:val="00790A8C"/>
    <w:rPr>
      <w:rFonts w:ascii="Verdana" w:hAnsi="Verdana"/>
      <w:b/>
      <w:bCs/>
      <w:lang w:val="en-GB" w:eastAsia="en-US"/>
    </w:rPr>
  </w:style>
  <w:style w:type="paragraph" w:customStyle="1" w:styleId="CBCoverTitleWhite">
    <w:name w:val="CB_Cover Title_White"/>
    <w:basedOn w:val="Normal"/>
    <w:qFormat/>
    <w:rsid w:val="000B666B"/>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0B666B"/>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5725">
      <w:bodyDiv w:val="1"/>
      <w:marLeft w:val="0"/>
      <w:marRight w:val="0"/>
      <w:marTop w:val="0"/>
      <w:marBottom w:val="0"/>
      <w:divBdr>
        <w:top w:val="none" w:sz="0" w:space="0" w:color="auto"/>
        <w:left w:val="none" w:sz="0" w:space="0" w:color="auto"/>
        <w:bottom w:val="none" w:sz="0" w:space="0" w:color="auto"/>
        <w:right w:val="none" w:sz="0" w:space="0" w:color="auto"/>
      </w:divBdr>
    </w:div>
    <w:div w:id="555970406">
      <w:bodyDiv w:val="1"/>
      <w:marLeft w:val="0"/>
      <w:marRight w:val="0"/>
      <w:marTop w:val="0"/>
      <w:marBottom w:val="0"/>
      <w:divBdr>
        <w:top w:val="none" w:sz="0" w:space="0" w:color="auto"/>
        <w:left w:val="none" w:sz="0" w:space="0" w:color="auto"/>
        <w:bottom w:val="none" w:sz="0" w:space="0" w:color="auto"/>
        <w:right w:val="none" w:sz="0" w:space="0" w:color="auto"/>
      </w:divBdr>
    </w:div>
    <w:div w:id="6364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ralbank.ie/fns/privacy-statement"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68C7-15B0-4C20-8141-A370150896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8F85D1-2090-46DD-8717-42FECB7B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Links>
    <vt:vector size="12" baseType="variant">
      <vt:variant>
        <vt:i4>6291534</vt:i4>
      </vt:variant>
      <vt:variant>
        <vt:i4>3</vt:i4>
      </vt:variant>
      <vt:variant>
        <vt:i4>0</vt:i4>
      </vt:variant>
      <vt:variant>
        <vt:i4>5</vt:i4>
      </vt:variant>
      <vt:variant>
        <vt:lpwstr>mailto:authorisations@centralbank.ie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cp:lastModifiedBy/>
  <cp:revision>1</cp:revision>
  <dcterms:created xsi:type="dcterms:W3CDTF">2018-05-17T11:04:00Z</dcterms:created>
  <dcterms:modified xsi:type="dcterms:W3CDTF">2018-07-13T11:46:00Z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38e07ec5-1017-43fc-81ac-0c8c57f7d929</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_AdHocReviewCycleID">
    <vt:i4>1708055442</vt:i4>
  </property>
  <property fmtid="{D5CDD505-2E9C-101B-9397-08002B2CF9AE}" pid="11" name="_NewReviewCycle">
    <vt:lpwstr/>
  </property>
</Properties>
</file>