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4" w:rsidRDefault="00884738" w:rsidP="00E35D8F">
      <w:pPr>
        <w:pStyle w:val="CBCoverTitleWhite"/>
      </w:pPr>
      <w:bookmarkStart w:id="0" w:name="_GoBack"/>
      <w:bookmarkEnd w:id="0"/>
      <w:r>
        <w:t xml:space="preserve">Retail Investor AIF </w:t>
      </w:r>
      <w:r w:rsidR="00AC5E54">
        <w:t xml:space="preserve">Application Form </w:t>
      </w:r>
      <w:r w:rsidR="005672BC">
        <w:t>Section 13</w:t>
      </w:r>
      <w:r w:rsidR="002263E9">
        <w:t xml:space="preserve"> </w:t>
      </w:r>
    </w:p>
    <w:p w:rsidR="00E35D8F" w:rsidRPr="002E54F0" w:rsidRDefault="00A02084" w:rsidP="00E35D8F">
      <w:pPr>
        <w:pStyle w:val="CBCoverTitleWhite"/>
      </w:pPr>
      <w:r>
        <w:t xml:space="preserve">Risk Management Process </w:t>
      </w:r>
    </w:p>
    <w:p w:rsidR="00E35D8F" w:rsidRPr="002E54F0" w:rsidRDefault="006D4876" w:rsidP="00E35D8F">
      <w:pPr>
        <w:pStyle w:val="CBCoverSubtitleLightWhite"/>
      </w:pPr>
      <w:r>
        <w:t>May 2018</w:t>
      </w:r>
    </w:p>
    <w:p w:rsidR="00D56982" w:rsidRDefault="00D56982"/>
    <w:p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rsidR="0062454F" w:rsidRDefault="0062454F">
      <w:r>
        <w:br w:type="page"/>
      </w:r>
    </w:p>
    <w:p w:rsidR="00A02084" w:rsidRPr="006A099E" w:rsidRDefault="005672BC" w:rsidP="00AC73C1">
      <w:pPr>
        <w:spacing w:line="240" w:lineRule="auto"/>
        <w:ind w:firstLine="142"/>
        <w:rPr>
          <w:rFonts w:asciiTheme="majorHAnsi" w:hAnsiTheme="majorHAnsi"/>
          <w:b/>
          <w:bCs/>
          <w:sz w:val="20"/>
          <w:szCs w:val="20"/>
        </w:rPr>
      </w:pPr>
      <w:r>
        <w:rPr>
          <w:rFonts w:asciiTheme="majorHAnsi" w:hAnsiTheme="majorHAnsi"/>
          <w:b/>
          <w:bCs/>
          <w:sz w:val="20"/>
          <w:szCs w:val="20"/>
        </w:rPr>
        <w:lastRenderedPageBreak/>
        <w:t>Section 13</w:t>
      </w:r>
      <w:r w:rsidR="002263E9">
        <w:rPr>
          <w:rFonts w:asciiTheme="majorHAnsi" w:hAnsiTheme="majorHAnsi"/>
          <w:b/>
          <w:bCs/>
          <w:sz w:val="20"/>
          <w:szCs w:val="20"/>
        </w:rPr>
        <w:t xml:space="preserve"> </w:t>
      </w:r>
      <w:r w:rsidR="005F1960">
        <w:rPr>
          <w:rFonts w:asciiTheme="majorHAnsi" w:hAnsiTheme="majorHAnsi"/>
          <w:b/>
          <w:bCs/>
          <w:sz w:val="20"/>
          <w:szCs w:val="20"/>
        </w:rPr>
        <w:t>Retail Investor</w:t>
      </w:r>
      <w:r w:rsidR="00B258A3">
        <w:rPr>
          <w:rFonts w:asciiTheme="majorHAnsi" w:hAnsiTheme="majorHAnsi"/>
          <w:b/>
          <w:bCs/>
          <w:sz w:val="20"/>
          <w:szCs w:val="20"/>
        </w:rPr>
        <w:t xml:space="preserve"> AIF</w:t>
      </w:r>
      <w:r w:rsidR="00A02084" w:rsidRPr="006A099E">
        <w:rPr>
          <w:rFonts w:asciiTheme="majorHAnsi" w:hAnsiTheme="majorHAnsi"/>
          <w:b/>
          <w:bCs/>
          <w:sz w:val="20"/>
          <w:szCs w:val="20"/>
        </w:rPr>
        <w:t xml:space="preserve"> Risk Management Process </w:t>
      </w:r>
      <w:r w:rsidR="00E448A7">
        <w:rPr>
          <w:rFonts w:asciiTheme="majorHAnsi" w:hAnsiTheme="majorHAnsi"/>
          <w:b/>
          <w:bCs/>
          <w:sz w:val="20"/>
          <w:szCs w:val="20"/>
        </w:rPr>
        <w:t xml:space="preserve">Application </w:t>
      </w:r>
      <w:r w:rsidR="00A02084" w:rsidRPr="006A099E">
        <w:rPr>
          <w:rFonts w:asciiTheme="majorHAnsi" w:hAnsiTheme="majorHAnsi"/>
          <w:b/>
          <w:bCs/>
          <w:sz w:val="20"/>
          <w:szCs w:val="20"/>
        </w:rPr>
        <w:t>Form</w:t>
      </w:r>
      <w:r w:rsidR="001E53C0">
        <w:rPr>
          <w:rFonts w:asciiTheme="majorHAnsi" w:hAnsiTheme="majorHAnsi"/>
          <w:b/>
          <w:bCs/>
          <w:sz w:val="20"/>
          <w:szCs w:val="20"/>
        </w:rPr>
        <w:t xml:space="preserve"> </w:t>
      </w:r>
    </w:p>
    <w:p w:rsidR="00A02084" w:rsidRPr="006A099E" w:rsidRDefault="00A02084" w:rsidP="00A02084">
      <w:pPr>
        <w:pStyle w:val="BodyTextIndent"/>
        <w:jc w:val="both"/>
        <w:rPr>
          <w:rFonts w:asciiTheme="minorHAnsi" w:hAnsiTheme="minorHAnsi"/>
          <w:sz w:val="20"/>
        </w:rPr>
      </w:pPr>
    </w:p>
    <w:p w:rsidR="00A02084" w:rsidRPr="006A099E" w:rsidRDefault="00A02084" w:rsidP="00A02084">
      <w:pPr>
        <w:pStyle w:val="BodyTextIndent"/>
        <w:ind w:left="284" w:hanging="142"/>
        <w:jc w:val="both"/>
        <w:rPr>
          <w:rFonts w:asciiTheme="minorHAnsi" w:hAnsiTheme="minorHAnsi"/>
          <w:sz w:val="20"/>
        </w:rPr>
      </w:pPr>
      <w:r w:rsidRPr="006A099E">
        <w:rPr>
          <w:rFonts w:asciiTheme="minorHAnsi" w:hAnsiTheme="minorHAnsi"/>
          <w:sz w:val="20"/>
        </w:rPr>
        <w:t xml:space="preserve">    Please complete the following by inserting the information requested and ticking the applicant column of boxes (to confirm compliance), unless otherwise indicated</w:t>
      </w:r>
    </w:p>
    <w:tbl>
      <w:tblPr>
        <w:tblW w:w="100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257"/>
        <w:gridCol w:w="577"/>
        <w:gridCol w:w="236"/>
        <w:gridCol w:w="48"/>
        <w:gridCol w:w="727"/>
        <w:gridCol w:w="752"/>
        <w:gridCol w:w="406"/>
        <w:gridCol w:w="65"/>
        <w:gridCol w:w="394"/>
        <w:gridCol w:w="32"/>
      </w:tblGrid>
      <w:tr w:rsidR="0089746F" w:rsidRPr="006A099E" w:rsidTr="0089746F">
        <w:trPr>
          <w:cantSplit/>
          <w:trHeight w:val="1286"/>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extDirection w:val="btLr"/>
          </w:tcPr>
          <w:p w:rsidR="0089746F" w:rsidRPr="006A099E" w:rsidRDefault="0089746F" w:rsidP="00667BCE">
            <w:pPr>
              <w:pStyle w:val="BlockText"/>
              <w:jc w:val="both"/>
              <w:rPr>
                <w:rFonts w:asciiTheme="minorHAnsi" w:hAnsiTheme="minorHAnsi"/>
                <w:sz w:val="20"/>
                <w:szCs w:val="20"/>
              </w:rPr>
            </w:pPr>
            <w:r w:rsidRPr="006A099E">
              <w:rPr>
                <w:rFonts w:asciiTheme="minorHAnsi" w:hAnsiTheme="minorHAnsi"/>
                <w:sz w:val="20"/>
                <w:szCs w:val="20"/>
              </w:rPr>
              <w:t xml:space="preserve">Page </w:t>
            </w:r>
          </w:p>
        </w:tc>
        <w:tc>
          <w:tcPr>
            <w:tcW w:w="284"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1479"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b/>
                <w:bCs/>
                <w:sz w:val="20"/>
                <w:szCs w:val="20"/>
              </w:rPr>
            </w:pPr>
            <w:r w:rsidRPr="006A099E">
              <w:rPr>
                <w:b/>
                <w:bCs/>
                <w:sz w:val="20"/>
                <w:szCs w:val="20"/>
              </w:rPr>
              <w:t>Paragraph</w:t>
            </w:r>
          </w:p>
        </w:tc>
        <w:tc>
          <w:tcPr>
            <w:tcW w:w="471"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426" w:type="dxa"/>
            <w:gridSpan w:val="2"/>
            <w:tcBorders>
              <w:top w:val="nil"/>
              <w:left w:val="nil"/>
              <w:bottom w:val="nil"/>
              <w:right w:val="nil"/>
            </w:tcBorders>
            <w:textDirection w:val="btLr"/>
          </w:tcPr>
          <w:p w:rsidR="0089746F" w:rsidRPr="006A099E" w:rsidRDefault="0089746F" w:rsidP="00667BCE">
            <w:pPr>
              <w:pStyle w:val="Heading7"/>
              <w:jc w:val="both"/>
              <w:rPr>
                <w:rFonts w:asciiTheme="minorHAnsi" w:hAnsiTheme="minorHAnsi"/>
                <w:sz w:val="20"/>
                <w:szCs w:val="20"/>
              </w:rPr>
            </w:pPr>
            <w:r w:rsidRPr="006A099E">
              <w:rPr>
                <w:rFonts w:asciiTheme="minorHAnsi" w:hAnsiTheme="minorHAnsi"/>
                <w:sz w:val="20"/>
                <w:szCs w:val="20"/>
              </w:rPr>
              <w:t>Applicant</w:t>
            </w:r>
          </w:p>
        </w:tc>
      </w:tr>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1</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Procedural</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1.1</w:t>
            </w:r>
          </w:p>
        </w:tc>
        <w:tc>
          <w:tcPr>
            <w:tcW w:w="5678" w:type="dxa"/>
            <w:tcBorders>
              <w:top w:val="nil"/>
              <w:left w:val="nil"/>
              <w:bottom w:val="nil"/>
              <w:right w:val="nil"/>
            </w:tcBorders>
          </w:tcPr>
          <w:p w:rsidR="0089746F" w:rsidRPr="006A099E" w:rsidRDefault="0089746F" w:rsidP="008C6B5C">
            <w:pPr>
              <w:rPr>
                <w:sz w:val="20"/>
              </w:rPr>
            </w:pPr>
            <w:r w:rsidRPr="006A099E">
              <w:rPr>
                <w:sz w:val="20"/>
                <w:szCs w:val="20"/>
              </w:rPr>
              <w:t>Please categorise the Risk Management Process (RMP) submission:</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 xml:space="preserve">               </w:t>
            </w: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shd w:val="clear" w:color="auto" w:fill="auto"/>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B258A3" w:rsidP="008C6B5C">
            <w:pPr>
              <w:pStyle w:val="ListParagraph"/>
              <w:numPr>
                <w:ilvl w:val="0"/>
                <w:numId w:val="9"/>
              </w:numPr>
              <w:spacing w:line="240" w:lineRule="auto"/>
              <w:jc w:val="both"/>
              <w:rPr>
                <w:sz w:val="20"/>
              </w:rPr>
            </w:pPr>
            <w:r>
              <w:rPr>
                <w:rFonts w:asciiTheme="minorHAnsi" w:hAnsiTheme="minorHAnsi"/>
                <w:sz w:val="20"/>
              </w:rPr>
              <w:t xml:space="preserve">New </w:t>
            </w:r>
            <w:r w:rsidR="005F1960">
              <w:rPr>
                <w:rFonts w:asciiTheme="minorHAnsi" w:hAnsiTheme="minorHAnsi"/>
                <w:sz w:val="20"/>
              </w:rPr>
              <w:t>Retail Investor</w:t>
            </w:r>
            <w:r>
              <w:rPr>
                <w:rFonts w:asciiTheme="minorHAnsi" w:hAnsiTheme="minorHAnsi"/>
                <w:sz w:val="20"/>
              </w:rPr>
              <w:t xml:space="preserve"> AIF</w:t>
            </w:r>
            <w:r w:rsidR="00A6754E" w:rsidRPr="006A099E">
              <w:rPr>
                <w:rFonts w:asciiTheme="minorHAnsi" w:hAnsiTheme="minorHAnsi"/>
                <w:sz w:val="20"/>
              </w:rPr>
              <w:t>– First RMP</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7D4E6C" w:rsidP="007D4E6C">
            <w:pPr>
              <w:pStyle w:val="ListParagraph"/>
              <w:numPr>
                <w:ilvl w:val="0"/>
                <w:numId w:val="9"/>
              </w:numPr>
              <w:spacing w:line="240" w:lineRule="auto"/>
              <w:jc w:val="both"/>
              <w:rPr>
                <w:sz w:val="20"/>
              </w:rPr>
            </w:pPr>
            <w:r>
              <w:rPr>
                <w:rFonts w:asciiTheme="minorHAnsi" w:hAnsiTheme="minorHAnsi"/>
                <w:sz w:val="20"/>
              </w:rPr>
              <w:t xml:space="preserve">New sub fund - </w:t>
            </w:r>
            <w:r w:rsidR="00A6754E" w:rsidRPr="006A099E">
              <w:rPr>
                <w:rFonts w:asciiTheme="minorHAnsi" w:hAnsiTheme="minorHAnsi"/>
                <w:sz w:val="20"/>
              </w:rPr>
              <w:t>Amended</w:t>
            </w:r>
            <w:r>
              <w:rPr>
                <w:rFonts w:asciiTheme="minorHAnsi" w:hAnsiTheme="minorHAnsi"/>
                <w:sz w:val="20"/>
              </w:rPr>
              <w:t xml:space="preserve">/New RMP </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Materially amended RMP</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667BCE">
            <w:pPr>
              <w:spacing w:line="240" w:lineRule="auto"/>
              <w:jc w:val="both"/>
              <w:rPr>
                <w:sz w:val="20"/>
                <w:szCs w:val="20"/>
              </w:rPr>
            </w:pPr>
          </w:p>
        </w:tc>
        <w:tc>
          <w:tcPr>
            <w:tcW w:w="5678" w:type="dxa"/>
            <w:tcBorders>
              <w:top w:val="nil"/>
              <w:left w:val="nil"/>
              <w:bottom w:val="nil"/>
              <w:right w:val="nil"/>
            </w:tcBorders>
          </w:tcPr>
          <w:p w:rsidR="00A6754E" w:rsidRPr="006A099E" w:rsidRDefault="00A6754E" w:rsidP="008C6B5C">
            <w:pPr>
              <w:pStyle w:val="ListParagraph"/>
              <w:spacing w:line="240" w:lineRule="auto"/>
              <w:jc w:val="both"/>
              <w:rPr>
                <w:rFonts w:asciiTheme="minorHAnsi" w:hAnsiTheme="minorHAnsi"/>
                <w:sz w:val="20"/>
              </w:rPr>
            </w:pPr>
          </w:p>
        </w:tc>
        <w:tc>
          <w:tcPr>
            <w:tcW w:w="83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71"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A6754E" w:rsidRPr="006A099E" w:rsidRDefault="00A6754E"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1.2</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RMP is on the headed paper of the risk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9D3E0A" w:rsidRPr="006A099E" w:rsidTr="008C6B5C">
        <w:tc>
          <w:tcPr>
            <w:tcW w:w="897" w:type="dxa"/>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5678" w:type="dxa"/>
            <w:tcBorders>
              <w:top w:val="nil"/>
              <w:left w:val="nil"/>
              <w:bottom w:val="nil"/>
              <w:right w:val="nil"/>
            </w:tcBorders>
          </w:tcPr>
          <w:p w:rsidR="009D3E0A" w:rsidRPr="006A099E" w:rsidRDefault="009D3E0A" w:rsidP="008C6B5C">
            <w:pPr>
              <w:spacing w:after="0" w:line="240" w:lineRule="auto"/>
              <w:jc w:val="both"/>
              <w:rPr>
                <w:sz w:val="20"/>
                <w:szCs w:val="20"/>
              </w:rPr>
            </w:pPr>
            <w:r w:rsidRPr="006A099E">
              <w:rPr>
                <w:sz w:val="20"/>
                <w:szCs w:val="20"/>
              </w:rPr>
              <w:t>manager and is dated and signed</w:t>
            </w:r>
          </w:p>
        </w:tc>
        <w:tc>
          <w:tcPr>
            <w:tcW w:w="83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28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1479"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71"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9D3E0A" w:rsidRPr="006A099E" w:rsidRDefault="009D3E0A"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661E7B">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1.3</w:t>
            </w:r>
          </w:p>
        </w:tc>
        <w:tc>
          <w:tcPr>
            <w:tcW w:w="5678" w:type="dxa"/>
            <w:tcBorders>
              <w:top w:val="nil"/>
              <w:left w:val="nil"/>
              <w:bottom w:val="nil"/>
              <w:right w:val="nil"/>
            </w:tcBorders>
          </w:tcPr>
          <w:p w:rsidR="0089746F" w:rsidRPr="006A099E" w:rsidRDefault="0089746F" w:rsidP="00661E7B">
            <w:pPr>
              <w:spacing w:line="240" w:lineRule="auto"/>
              <w:jc w:val="both"/>
            </w:pPr>
            <w:r w:rsidRPr="006A099E">
              <w:rPr>
                <w:sz w:val="20"/>
                <w:szCs w:val="20"/>
              </w:rPr>
              <w:t xml:space="preserve">Please </w:t>
            </w:r>
            <w:r w:rsidR="00661E7B">
              <w:rPr>
                <w:sz w:val="20"/>
                <w:szCs w:val="20"/>
              </w:rPr>
              <w:t xml:space="preserve">confirm </w:t>
            </w:r>
            <w:r w:rsidR="00B258A3">
              <w:rPr>
                <w:sz w:val="20"/>
                <w:szCs w:val="20"/>
              </w:rPr>
              <w:t xml:space="preserve">the cover letter from the </w:t>
            </w:r>
            <w:r w:rsidR="005F1960">
              <w:rPr>
                <w:sz w:val="20"/>
                <w:szCs w:val="20"/>
              </w:rPr>
              <w:t>Retail Investor</w:t>
            </w:r>
            <w:r w:rsidR="00B258A3">
              <w:rPr>
                <w:sz w:val="20"/>
                <w:szCs w:val="20"/>
              </w:rPr>
              <w:t xml:space="preserve"> AIF</w:t>
            </w:r>
            <w:r w:rsidRPr="006A099E">
              <w:rPr>
                <w:sz w:val="20"/>
                <w:szCs w:val="20"/>
              </w:rPr>
              <w:t xml:space="preserve"> contains:</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the risk manager</w:t>
            </w:r>
          </w:p>
        </w:tc>
        <w:tc>
          <w:tcPr>
            <w:tcW w:w="2597" w:type="dxa"/>
            <w:gridSpan w:val="6"/>
            <w:vMerge w:val="restart"/>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B258A3">
            <w:pPr>
              <w:pStyle w:val="ListParagraph"/>
              <w:numPr>
                <w:ilvl w:val="0"/>
                <w:numId w:val="10"/>
              </w:numPr>
              <w:spacing w:line="240" w:lineRule="auto"/>
              <w:jc w:val="both"/>
              <w:rPr>
                <w:sz w:val="20"/>
              </w:rPr>
            </w:pPr>
            <w:r>
              <w:rPr>
                <w:rFonts w:asciiTheme="minorHAnsi" w:hAnsiTheme="minorHAnsi"/>
                <w:sz w:val="20"/>
              </w:rPr>
              <w:t xml:space="preserve">Details of how the </w:t>
            </w:r>
            <w:r w:rsidR="005F1960">
              <w:rPr>
                <w:rFonts w:asciiTheme="minorHAnsi" w:hAnsiTheme="minorHAnsi"/>
                <w:sz w:val="20"/>
              </w:rPr>
              <w:t>Retail Investor</w:t>
            </w:r>
            <w:r>
              <w:rPr>
                <w:rFonts w:asciiTheme="minorHAnsi" w:hAnsiTheme="minorHAnsi"/>
                <w:sz w:val="20"/>
              </w:rPr>
              <w:t xml:space="preserve"> AIF</w:t>
            </w:r>
            <w:r w:rsidR="00661E7B" w:rsidRPr="006A099E">
              <w:rPr>
                <w:rFonts w:asciiTheme="minorHAnsi" w:hAnsiTheme="minorHAnsi"/>
                <w:sz w:val="20"/>
              </w:rPr>
              <w:t xml:space="preserve"> will supervise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503B7F" w:rsidRPr="006A099E" w:rsidTr="00C87DFF">
        <w:tc>
          <w:tcPr>
            <w:tcW w:w="897" w:type="dxa"/>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5678" w:type="dxa"/>
            <w:tcBorders>
              <w:top w:val="nil"/>
              <w:left w:val="nil"/>
              <w:bottom w:val="nil"/>
              <w:right w:val="nil"/>
            </w:tcBorders>
          </w:tcPr>
          <w:p w:rsidR="00503B7F" w:rsidRDefault="00361CB7" w:rsidP="00C87DFF">
            <w:pPr>
              <w:pStyle w:val="ListParagraph"/>
              <w:spacing w:line="240" w:lineRule="auto"/>
              <w:jc w:val="both"/>
              <w:rPr>
                <w:rFonts w:asciiTheme="minorHAnsi" w:hAnsiTheme="minorHAnsi"/>
                <w:sz w:val="20"/>
              </w:rPr>
            </w:pPr>
            <w:r w:rsidRPr="006A099E">
              <w:rPr>
                <w:rFonts w:asciiTheme="minorHAnsi" w:hAnsiTheme="minorHAnsi"/>
                <w:sz w:val="20"/>
              </w:rPr>
              <w:t xml:space="preserve">work of </w:t>
            </w:r>
            <w:r w:rsidR="00503B7F" w:rsidRPr="00503B7F">
              <w:rPr>
                <w:rFonts w:asciiTheme="minorHAnsi" w:hAnsiTheme="minorHAnsi"/>
                <w:sz w:val="20"/>
              </w:rPr>
              <w:t>the risk manager</w:t>
            </w:r>
          </w:p>
        </w:tc>
        <w:tc>
          <w:tcPr>
            <w:tcW w:w="2597" w:type="dxa"/>
            <w:gridSpan w:val="6"/>
            <w:vMerge/>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471" w:type="dxa"/>
            <w:gridSpan w:val="2"/>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503B7F" w:rsidRPr="006A099E" w:rsidRDefault="00503B7F"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B258A3">
            <w:pPr>
              <w:pStyle w:val="ListParagraph"/>
              <w:numPr>
                <w:ilvl w:val="0"/>
                <w:numId w:val="10"/>
              </w:numPr>
              <w:spacing w:line="240" w:lineRule="auto"/>
              <w:jc w:val="both"/>
              <w:rPr>
                <w:sz w:val="20"/>
              </w:rPr>
            </w:pPr>
            <w:r>
              <w:rPr>
                <w:rFonts w:asciiTheme="minorHAnsi" w:hAnsiTheme="minorHAnsi"/>
                <w:sz w:val="20"/>
              </w:rPr>
              <w:t xml:space="preserve">Details of how the </w:t>
            </w:r>
            <w:r w:rsidR="005F1960">
              <w:rPr>
                <w:rFonts w:asciiTheme="minorHAnsi" w:hAnsiTheme="minorHAnsi"/>
                <w:sz w:val="20"/>
              </w:rPr>
              <w:t>Retail Investor</w:t>
            </w:r>
            <w:r>
              <w:rPr>
                <w:rFonts w:asciiTheme="minorHAnsi" w:hAnsiTheme="minorHAnsi"/>
                <w:sz w:val="20"/>
              </w:rPr>
              <w:t xml:space="preserve"> AIF</w:t>
            </w:r>
            <w:r w:rsidR="00661E7B" w:rsidRPr="006A099E">
              <w:rPr>
                <w:rFonts w:asciiTheme="minorHAnsi" w:hAnsiTheme="minorHAnsi"/>
                <w:sz w:val="20"/>
              </w:rPr>
              <w:t xml:space="preserve"> will monitor and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361CB7" w:rsidP="008C6B5C">
            <w:pPr>
              <w:pStyle w:val="ListParagraph"/>
              <w:spacing w:line="240" w:lineRule="auto"/>
              <w:jc w:val="both"/>
              <w:rPr>
                <w:rFonts w:asciiTheme="minorHAnsi" w:hAnsiTheme="minorHAnsi"/>
                <w:sz w:val="20"/>
              </w:rPr>
            </w:pPr>
            <w:r w:rsidRPr="006A099E">
              <w:rPr>
                <w:rFonts w:asciiTheme="minorHAnsi" w:hAnsiTheme="minorHAnsi"/>
                <w:sz w:val="20"/>
              </w:rPr>
              <w:t xml:space="preserve">control </w:t>
            </w:r>
            <w:r w:rsidR="003C157A" w:rsidRPr="006A099E">
              <w:rPr>
                <w:rFonts w:asciiTheme="minorHAnsi" w:hAnsiTheme="minorHAnsi"/>
                <w:sz w:val="20"/>
              </w:rPr>
              <w:t>the applicable compliance and quantitative limits</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escalation procedu</w:t>
            </w:r>
            <w:r>
              <w:rPr>
                <w:rFonts w:asciiTheme="minorHAnsi" w:hAnsiTheme="minorHAnsi"/>
                <w:sz w:val="20"/>
              </w:rPr>
              <w:t xml:space="preserve">res in the event of limit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4222FB" w:rsidRPr="006A099E" w:rsidTr="00661E7B">
        <w:tc>
          <w:tcPr>
            <w:tcW w:w="897" w:type="dxa"/>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5678" w:type="dxa"/>
            <w:tcBorders>
              <w:top w:val="nil"/>
              <w:left w:val="nil"/>
              <w:bottom w:val="nil"/>
              <w:right w:val="nil"/>
            </w:tcBorders>
          </w:tcPr>
          <w:p w:rsidR="004222FB" w:rsidRPr="006A099E" w:rsidRDefault="004222FB" w:rsidP="008C6B5C">
            <w:pPr>
              <w:pStyle w:val="ListParagraph"/>
              <w:spacing w:line="240" w:lineRule="auto"/>
              <w:jc w:val="both"/>
              <w:rPr>
                <w:rFonts w:asciiTheme="minorHAnsi" w:hAnsiTheme="minorHAnsi"/>
                <w:sz w:val="20"/>
              </w:rPr>
            </w:pPr>
            <w:r w:rsidRPr="006A099E">
              <w:rPr>
                <w:rFonts w:asciiTheme="minorHAnsi" w:hAnsiTheme="minorHAnsi"/>
                <w:sz w:val="20"/>
              </w:rPr>
              <w:t>breaches</w:t>
            </w:r>
          </w:p>
        </w:tc>
        <w:tc>
          <w:tcPr>
            <w:tcW w:w="83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28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1479"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71"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4222FB" w:rsidRPr="006A099E" w:rsidRDefault="004222FB" w:rsidP="007C2CED">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1.4</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FDI included in the RMP are consistent with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480061" w:rsidRPr="006A099E" w:rsidTr="008C6B5C">
        <w:tc>
          <w:tcPr>
            <w:tcW w:w="897" w:type="dxa"/>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5678" w:type="dxa"/>
            <w:tcBorders>
              <w:top w:val="nil"/>
              <w:left w:val="nil"/>
              <w:bottom w:val="nil"/>
              <w:right w:val="nil"/>
            </w:tcBorders>
          </w:tcPr>
          <w:p w:rsidR="00480061" w:rsidRPr="006A099E" w:rsidRDefault="00480061" w:rsidP="008C6B5C">
            <w:pPr>
              <w:spacing w:after="0" w:line="240" w:lineRule="auto"/>
              <w:jc w:val="both"/>
              <w:rPr>
                <w:sz w:val="20"/>
                <w:szCs w:val="20"/>
              </w:rPr>
            </w:pPr>
            <w:r w:rsidRPr="006A099E">
              <w:rPr>
                <w:sz w:val="20"/>
                <w:szCs w:val="20"/>
              </w:rPr>
              <w:t>those included in the supplement/prospectus</w:t>
            </w:r>
          </w:p>
        </w:tc>
        <w:tc>
          <w:tcPr>
            <w:tcW w:w="83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28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1479"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71"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480061" w:rsidRPr="006A099E" w:rsidRDefault="00480061"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E01AC" w:rsidRPr="006A099E" w:rsidTr="008C6B5C">
        <w:tc>
          <w:tcPr>
            <w:tcW w:w="897" w:type="dxa"/>
            <w:tcBorders>
              <w:top w:val="nil"/>
              <w:left w:val="nil"/>
              <w:bottom w:val="nil"/>
              <w:right w:val="nil"/>
            </w:tcBorders>
          </w:tcPr>
          <w:p w:rsidR="00AE01AC" w:rsidRPr="006A099E" w:rsidRDefault="00AE01AC" w:rsidP="008C6B5C">
            <w:pPr>
              <w:spacing w:after="0" w:line="240" w:lineRule="auto"/>
              <w:jc w:val="both"/>
              <w:rPr>
                <w:sz w:val="20"/>
                <w:szCs w:val="20"/>
              </w:rPr>
            </w:pPr>
            <w:r>
              <w:rPr>
                <w:sz w:val="20"/>
                <w:szCs w:val="20"/>
              </w:rPr>
              <w:t>1.5</w:t>
            </w:r>
          </w:p>
        </w:tc>
        <w:tc>
          <w:tcPr>
            <w:tcW w:w="5678" w:type="dxa"/>
            <w:tcBorders>
              <w:top w:val="nil"/>
              <w:left w:val="nil"/>
              <w:bottom w:val="nil"/>
              <w:right w:val="nil"/>
            </w:tcBorders>
          </w:tcPr>
          <w:p w:rsidR="00AE01AC" w:rsidRPr="006A099E" w:rsidRDefault="00AE01AC" w:rsidP="005F1960">
            <w:pPr>
              <w:spacing w:after="0" w:line="240" w:lineRule="auto"/>
              <w:jc w:val="both"/>
              <w:rPr>
                <w:sz w:val="20"/>
                <w:szCs w:val="20"/>
              </w:rPr>
            </w:pPr>
            <w:r w:rsidRPr="006A099E">
              <w:rPr>
                <w:sz w:val="20"/>
                <w:szCs w:val="20"/>
              </w:rPr>
              <w:t>Please confirm the</w:t>
            </w:r>
            <w:r w:rsidR="00B258A3">
              <w:rPr>
                <w:sz w:val="20"/>
                <w:szCs w:val="20"/>
              </w:rPr>
              <w:t xml:space="preserve"> RMP is proprietary to the </w:t>
            </w:r>
            <w:r w:rsidR="005F1960">
              <w:rPr>
                <w:sz w:val="20"/>
                <w:szCs w:val="20"/>
              </w:rPr>
              <w:t>Retail Investor</w:t>
            </w:r>
            <w:r w:rsidR="00B258A3">
              <w:rPr>
                <w:sz w:val="20"/>
                <w:szCs w:val="20"/>
              </w:rPr>
              <w:t xml:space="preserve"> </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E01AC" w:rsidRPr="006A099E" w:rsidRDefault="00AE01AC"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8C6B5C">
            <w:pPr>
              <w:spacing w:after="0" w:line="240" w:lineRule="auto"/>
              <w:jc w:val="both"/>
              <w:rPr>
                <w:sz w:val="20"/>
                <w:szCs w:val="20"/>
              </w:rPr>
            </w:pPr>
          </w:p>
        </w:tc>
        <w:tc>
          <w:tcPr>
            <w:tcW w:w="5678" w:type="dxa"/>
            <w:tcBorders>
              <w:top w:val="nil"/>
              <w:left w:val="nil"/>
              <w:bottom w:val="nil"/>
              <w:right w:val="nil"/>
            </w:tcBorders>
          </w:tcPr>
          <w:p w:rsidR="00AE01AC" w:rsidRPr="006A099E" w:rsidRDefault="005F1960" w:rsidP="009D2180">
            <w:pPr>
              <w:spacing w:after="0" w:line="240" w:lineRule="auto"/>
              <w:jc w:val="both"/>
              <w:rPr>
                <w:sz w:val="20"/>
                <w:szCs w:val="20"/>
              </w:rPr>
            </w:pPr>
            <w:r>
              <w:rPr>
                <w:sz w:val="20"/>
                <w:szCs w:val="20"/>
              </w:rPr>
              <w:t>AIF</w:t>
            </w:r>
            <w:r w:rsidRPr="006A099E">
              <w:rPr>
                <w:sz w:val="20"/>
                <w:szCs w:val="20"/>
              </w:rPr>
              <w:t xml:space="preserve"> (i.e. not </w:t>
            </w:r>
            <w:r w:rsidR="003C157A" w:rsidRPr="006A099E">
              <w:rPr>
                <w:sz w:val="20"/>
                <w:szCs w:val="20"/>
              </w:rPr>
              <w:t xml:space="preserve">the </w:t>
            </w:r>
            <w:r w:rsidR="009D2180">
              <w:rPr>
                <w:sz w:val="20"/>
                <w:szCs w:val="20"/>
              </w:rPr>
              <w:t>AIFM</w:t>
            </w:r>
            <w:r w:rsidR="00AE01AC" w:rsidRPr="006A099E">
              <w:rPr>
                <w:sz w:val="20"/>
                <w:szCs w:val="20"/>
              </w:rPr>
              <w:t xml:space="preserve"> etc)</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AE01A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83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r>
      <w:tr w:rsidR="0089746F" w:rsidRPr="006A099E" w:rsidTr="008C6B5C">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2</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General Information</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entities and units responsible for risk and valuations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 </w:t>
            </w: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Policy on expertise required to trade and manage FDI and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related risks</w:t>
            </w:r>
          </w:p>
        </w:tc>
        <w:tc>
          <w:tcPr>
            <w:tcW w:w="834"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expertise currently in place (i.e. personnel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responsible)</w:t>
            </w:r>
          </w:p>
        </w:tc>
        <w:tc>
          <w:tcPr>
            <w:tcW w:w="83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all FDI to be used with summary of commercial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purpose</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65193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65193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2.5</w:t>
            </w:r>
          </w:p>
        </w:tc>
        <w:tc>
          <w:tcPr>
            <w:tcW w:w="5678" w:type="dxa"/>
            <w:tcBorders>
              <w:top w:val="nil"/>
              <w:left w:val="nil"/>
              <w:bottom w:val="nil"/>
              <w:right w:val="single" w:sz="4" w:space="0" w:color="auto"/>
            </w:tcBorders>
          </w:tcPr>
          <w:p w:rsidR="0089746F" w:rsidRPr="006A099E" w:rsidRDefault="0089746F">
            <w:pPr>
              <w:spacing w:after="0" w:line="240" w:lineRule="auto"/>
              <w:jc w:val="both"/>
              <w:rPr>
                <w:sz w:val="20"/>
                <w:szCs w:val="20"/>
              </w:rPr>
            </w:pPr>
            <w:r w:rsidRPr="006A099E">
              <w:rPr>
                <w:sz w:val="20"/>
                <w:szCs w:val="20"/>
              </w:rPr>
              <w:t>Detail</w:t>
            </w:r>
            <w:r w:rsidR="00B258A3">
              <w:rPr>
                <w:sz w:val="20"/>
                <w:szCs w:val="20"/>
              </w:rPr>
              <w:t xml:space="preserve">s of risks involved to the </w:t>
            </w:r>
            <w:r w:rsidR="005F1960">
              <w:rPr>
                <w:sz w:val="20"/>
                <w:szCs w:val="20"/>
              </w:rPr>
              <w:t>Retail Investor</w:t>
            </w:r>
            <w:r w:rsidR="00B258A3">
              <w:rPr>
                <w:sz w:val="20"/>
                <w:szCs w:val="20"/>
              </w:rPr>
              <w:t xml:space="preserve"> AIF</w:t>
            </w:r>
            <w:r w:rsidRPr="006A099E">
              <w:rPr>
                <w:sz w:val="20"/>
                <w:szCs w:val="20"/>
              </w:rPr>
              <w:t xml:space="preserve"> from using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65193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361CB7" w:rsidP="008C6B5C">
            <w:pPr>
              <w:spacing w:after="0" w:line="240" w:lineRule="auto"/>
              <w:jc w:val="both"/>
              <w:rPr>
                <w:sz w:val="20"/>
                <w:szCs w:val="20"/>
              </w:rPr>
            </w:pPr>
            <w:r w:rsidRPr="006A099E">
              <w:rPr>
                <w:sz w:val="20"/>
                <w:szCs w:val="20"/>
              </w:rPr>
              <w:t>FDI</w:t>
            </w:r>
          </w:p>
        </w:tc>
        <w:tc>
          <w:tcPr>
            <w:tcW w:w="834"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r>
      <w:tr w:rsidR="00361CB7" w:rsidRPr="006A099E" w:rsidTr="0065193C">
        <w:tc>
          <w:tcPr>
            <w:tcW w:w="897" w:type="dxa"/>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5678" w:type="dxa"/>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834"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c>
          <w:tcPr>
            <w:tcW w:w="284" w:type="dxa"/>
            <w:gridSpan w:val="2"/>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c>
          <w:tcPr>
            <w:tcW w:w="471" w:type="dxa"/>
            <w:gridSpan w:val="2"/>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426"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FDI valuation rules and pricing methodology</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systems and technology used</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2.8</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policy and procedures re legal risk (in particular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r w:rsidRPr="006A099E">
              <w:rPr>
                <w:sz w:val="20"/>
                <w:szCs w:val="20"/>
              </w:rPr>
              <w:t>credit derivatives)</w:t>
            </w:r>
          </w:p>
        </w:tc>
        <w:tc>
          <w:tcPr>
            <w:tcW w:w="834"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r>
      <w:tr w:rsidR="00DB047A" w:rsidRPr="006A099E" w:rsidTr="008C6B5C">
        <w:trPr>
          <w:gridAfter w:val="5"/>
          <w:wAfter w:w="1649" w:type="dxa"/>
        </w:trPr>
        <w:tc>
          <w:tcPr>
            <w:tcW w:w="89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678"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5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7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36"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775" w:type="dxa"/>
            <w:gridSpan w:val="2"/>
            <w:tcBorders>
              <w:top w:val="nil"/>
              <w:left w:val="nil"/>
              <w:bottom w:val="nil"/>
              <w:right w:val="nil"/>
            </w:tcBorders>
          </w:tcPr>
          <w:p w:rsidR="00DB047A" w:rsidRPr="006A099E" w:rsidRDefault="00DB047A" w:rsidP="008C6B5C">
            <w:pPr>
              <w:spacing w:after="0" w:line="240" w:lineRule="auto"/>
              <w:jc w:val="both"/>
              <w:rPr>
                <w:sz w:val="20"/>
                <w:szCs w:val="20"/>
              </w:rPr>
            </w:pPr>
          </w:p>
        </w:tc>
      </w:tr>
      <w:tr w:rsidR="0089746F" w:rsidRPr="006A099E" w:rsidTr="0089746F">
        <w:trPr>
          <w:gridAfter w:val="1"/>
          <w:wAfter w:w="32" w:type="dxa"/>
        </w:trPr>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3</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Global Exposure and Leverage</w:t>
            </w:r>
            <w:r w:rsidRPr="006A099E">
              <w:rPr>
                <w:rStyle w:val="FootnoteReference"/>
                <w:rFonts w:asciiTheme="majorHAnsi" w:hAnsiTheme="majorHAnsi"/>
                <w:sz w:val="20"/>
                <w:szCs w:val="20"/>
              </w:rPr>
              <w:footnoteReference w:customMarkFollows="1" w:id="1"/>
              <w:t>*</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3.1</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Policy on Leverage and Global Exposure</w:t>
            </w:r>
          </w:p>
        </w:tc>
        <w:tc>
          <w:tcPr>
            <w:tcW w:w="834"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06"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Policy on Asset Cover</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Hedging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Position Netting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the methodology to calculate global exposure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(including appropriateness)</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Commitment Calculation Methodology for each FDI used by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258A3" w:rsidP="008C6B5C">
            <w:pPr>
              <w:spacing w:after="0" w:line="240" w:lineRule="auto"/>
              <w:jc w:val="both"/>
              <w:rPr>
                <w:sz w:val="20"/>
                <w:szCs w:val="20"/>
              </w:rPr>
            </w:pPr>
            <w:r>
              <w:rPr>
                <w:sz w:val="20"/>
                <w:szCs w:val="20"/>
              </w:rPr>
              <w:t xml:space="preserve">the </w:t>
            </w:r>
            <w:r w:rsidR="005F1960">
              <w:rPr>
                <w:sz w:val="20"/>
                <w:szCs w:val="20"/>
              </w:rPr>
              <w:t>Retail Investor</w:t>
            </w:r>
            <w:r>
              <w:rPr>
                <w:sz w:val="20"/>
                <w:szCs w:val="20"/>
              </w:rPr>
              <w:t xml:space="preserve"> AIF</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Example provided on calculation of global exposure – using FDI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traded</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bl>
    <w:p w:rsidR="00A02084" w:rsidRPr="006A099E" w:rsidRDefault="00A02084" w:rsidP="00A02084">
      <w:pPr>
        <w:pStyle w:val="BodyText1"/>
        <w:spacing w:line="240" w:lineRule="auto"/>
        <w:ind w:left="720"/>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34"/>
        <w:gridCol w:w="294"/>
        <w:gridCol w:w="1469"/>
        <w:gridCol w:w="406"/>
        <w:gridCol w:w="459"/>
      </w:tblGrid>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3.5</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Description of methodology on using VaR</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Description of model used</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Stress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Back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VaR model validation (initial &amp; ongoing)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other risk measures used/described – e.g. tracking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C6B5C">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6B61E4">
            <w:pPr>
              <w:spacing w:after="0" w:line="240" w:lineRule="auto"/>
              <w:jc w:val="both"/>
              <w:rPr>
                <w:sz w:val="20"/>
                <w:szCs w:val="20"/>
              </w:rPr>
            </w:pPr>
            <w:r w:rsidRPr="006A099E">
              <w:rPr>
                <w:sz w:val="20"/>
                <w:szCs w:val="20"/>
              </w:rPr>
              <w:t>error</w:t>
            </w:r>
          </w:p>
        </w:tc>
        <w:tc>
          <w:tcPr>
            <w:tcW w:w="83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nil"/>
              <w:left w:val="nil"/>
              <w:bottom w:val="nil"/>
              <w:right w:val="nil"/>
            </w:tcBorders>
          </w:tcPr>
          <w:p w:rsidR="006B61E4" w:rsidRPr="006A099E" w:rsidRDefault="006B61E4" w:rsidP="006B61E4">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3.8</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Procedures and controls documented, including</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 xml:space="preserve">Monitoring &amp; reporting compliance and quantitative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C87DFF">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8C6B5C">
            <w:pPr>
              <w:pStyle w:val="ListParagraph"/>
              <w:spacing w:line="240" w:lineRule="auto"/>
              <w:jc w:val="both"/>
              <w:rPr>
                <w:rFonts w:asciiTheme="minorHAnsi" w:hAnsiTheme="minorHAnsi"/>
                <w:sz w:val="20"/>
              </w:rPr>
            </w:pPr>
            <w:r w:rsidRPr="006A099E">
              <w:rPr>
                <w:rFonts w:asciiTheme="minorHAnsi" w:hAnsiTheme="minorHAnsi"/>
                <w:sz w:val="20"/>
              </w:rPr>
              <w:t>limits</w:t>
            </w:r>
          </w:p>
        </w:tc>
        <w:tc>
          <w:tcPr>
            <w:tcW w:w="834"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Prevention of limit breaches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Trade monitoring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3.9</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Policy on Issuer Concentration risk</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6B61E4" w:rsidRDefault="006B61E4" w:rsidP="006B61E4">
      <w:pPr>
        <w:pStyle w:val="BodyText1"/>
        <w:spacing w:line="240" w:lineRule="auto"/>
        <w:jc w:val="both"/>
        <w:rPr>
          <w:rFonts w:asciiTheme="minorHAnsi" w:hAnsiTheme="minorHAnsi"/>
          <w:sz w:val="20"/>
        </w:rPr>
      </w:pPr>
    </w:p>
    <w:p w:rsidR="00A02084" w:rsidRPr="006A099E" w:rsidRDefault="00A02084" w:rsidP="0065193C">
      <w:pPr>
        <w:rPr>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lastRenderedPageBreak/>
              <w:t>4</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Counterparty Exposure</w:t>
            </w:r>
          </w:p>
        </w:tc>
        <w:tc>
          <w:tcPr>
            <w:tcW w:w="886" w:type="dxa"/>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4.1</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Policy on counterparty risk exposure, including the following:</w:t>
            </w: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Counterparty approval (including rating requirements)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Use of collateral</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Netting (legally enforceable netting agreements)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quantitative standards adopted</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methodology to calculate counterparty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r w:rsidRPr="006A099E">
              <w:rPr>
                <w:sz w:val="20"/>
                <w:szCs w:val="20"/>
              </w:rPr>
              <w:t>exposure</w:t>
            </w: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p w:rsidR="00A02084" w:rsidRPr="006A099E" w:rsidRDefault="00A02084" w:rsidP="00A02084">
      <w:pPr>
        <w:pStyle w:val="BodyText1"/>
        <w:spacing w:line="240" w:lineRule="auto"/>
        <w:jc w:val="both"/>
        <w:rPr>
          <w:rFonts w:asciiTheme="minorHAnsi" w:hAnsiTheme="minorHAnsi"/>
          <w:sz w:val="20"/>
        </w:rPr>
      </w:pPr>
    </w:p>
    <w:tbl>
      <w:tblPr>
        <w:tblW w:w="10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gridCol w:w="261"/>
        <w:gridCol w:w="602"/>
      </w:tblGrid>
      <w:tr w:rsidR="00A02084" w:rsidRPr="006A099E" w:rsidTr="00667BCE">
        <w:tc>
          <w:tcPr>
            <w:tcW w:w="897"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sz w:val="20"/>
                <w:szCs w:val="20"/>
              </w:rPr>
            </w:pPr>
            <w:r w:rsidRPr="006A099E">
              <w:rPr>
                <w:sz w:val="20"/>
                <w:szCs w:val="20"/>
              </w:rPr>
              <w:t>5</w:t>
            </w:r>
          </w:p>
        </w:tc>
        <w:tc>
          <w:tcPr>
            <w:tcW w:w="5678"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rFonts w:asciiTheme="majorHAnsi" w:hAnsiTheme="majorHAnsi"/>
                <w:sz w:val="20"/>
                <w:szCs w:val="20"/>
              </w:rPr>
            </w:pPr>
            <w:r w:rsidRPr="006A099E">
              <w:rPr>
                <w:rFonts w:asciiTheme="majorHAnsi" w:hAnsiTheme="majorHAnsi"/>
                <w:sz w:val="20"/>
                <w:szCs w:val="20"/>
              </w:rPr>
              <w:t>Reporting</w:t>
            </w:r>
          </w:p>
        </w:tc>
        <w:tc>
          <w:tcPr>
            <w:tcW w:w="886" w:type="dxa"/>
            <w:tcBorders>
              <w:top w:val="nil"/>
              <w:left w:val="single" w:sz="4" w:space="0" w:color="auto"/>
              <w:bottom w:val="nil"/>
              <w:right w:val="nil"/>
            </w:tcBorders>
          </w:tcPr>
          <w:p w:rsidR="00A02084" w:rsidRPr="006A099E" w:rsidRDefault="00A02084" w:rsidP="00667BCE">
            <w:pPr>
              <w:spacing w:line="240" w:lineRule="auto"/>
              <w:jc w:val="both"/>
              <w:rPr>
                <w:b/>
                <w:bCs/>
                <w:sz w:val="20"/>
                <w:szCs w:val="20"/>
              </w:rPr>
            </w:pPr>
          </w:p>
        </w:tc>
        <w:tc>
          <w:tcPr>
            <w:tcW w:w="242"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1469"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406"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459"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261"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602" w:type="dxa"/>
            <w:tcBorders>
              <w:top w:val="nil"/>
              <w:left w:val="nil"/>
              <w:bottom w:val="nil"/>
              <w:right w:val="nil"/>
            </w:tcBorders>
          </w:tcPr>
          <w:p w:rsidR="00A02084" w:rsidRPr="006A099E" w:rsidRDefault="00A02084" w:rsidP="00667BCE">
            <w:pPr>
              <w:spacing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C6B5C">
        <w:tc>
          <w:tcPr>
            <w:tcW w:w="897" w:type="dxa"/>
            <w:tcBorders>
              <w:top w:val="nil"/>
              <w:left w:val="nil"/>
              <w:bottom w:val="nil"/>
              <w:right w:val="nil"/>
            </w:tcBorders>
          </w:tcPr>
          <w:p w:rsidR="0089746F" w:rsidRPr="006A099E" w:rsidRDefault="00B7690C" w:rsidP="008C6B5C">
            <w:pPr>
              <w:spacing w:after="0" w:line="240" w:lineRule="auto"/>
              <w:jc w:val="both"/>
              <w:rPr>
                <w:sz w:val="20"/>
                <w:szCs w:val="20"/>
              </w:rPr>
            </w:pPr>
            <w:r>
              <w:rPr>
                <w:sz w:val="20"/>
                <w:szCs w:val="20"/>
              </w:rPr>
              <w:t>5.1</w:t>
            </w:r>
          </w:p>
        </w:tc>
        <w:tc>
          <w:tcPr>
            <w:tcW w:w="5678" w:type="dxa"/>
            <w:tcBorders>
              <w:top w:val="nil"/>
              <w:left w:val="nil"/>
              <w:bottom w:val="nil"/>
              <w:right w:val="single" w:sz="4" w:space="0" w:color="auto"/>
            </w:tcBorders>
          </w:tcPr>
          <w:p w:rsidR="0089746F" w:rsidRPr="006A099E" w:rsidRDefault="0089746F" w:rsidP="005F1960">
            <w:pPr>
              <w:spacing w:after="0" w:line="240" w:lineRule="auto"/>
              <w:jc w:val="both"/>
              <w:rPr>
                <w:sz w:val="20"/>
                <w:szCs w:val="20"/>
              </w:rPr>
            </w:pPr>
            <w:r w:rsidRPr="006A099E">
              <w:rPr>
                <w:sz w:val="20"/>
                <w:szCs w:val="20"/>
              </w:rPr>
              <w:t xml:space="preserve">Details of </w:t>
            </w:r>
            <w:r w:rsidR="00DB047A">
              <w:rPr>
                <w:sz w:val="20"/>
                <w:szCs w:val="20"/>
              </w:rPr>
              <w:t xml:space="preserve">reporting </w:t>
            </w:r>
            <w:r w:rsidR="00B258A3">
              <w:rPr>
                <w:sz w:val="20"/>
                <w:szCs w:val="20"/>
              </w:rPr>
              <w:t xml:space="preserve">procedures and content of </w:t>
            </w:r>
            <w:r w:rsidR="005F1960">
              <w:rPr>
                <w:sz w:val="20"/>
                <w:szCs w:val="20"/>
              </w:rPr>
              <w:t>Retail Investor</w:t>
            </w:r>
            <w:r w:rsidR="00B258A3">
              <w:rPr>
                <w:sz w:val="20"/>
                <w:szCs w:val="20"/>
              </w:rPr>
              <w:t xml:space="preserve">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5678" w:type="dxa"/>
            <w:tcBorders>
              <w:top w:val="nil"/>
              <w:left w:val="nil"/>
              <w:bottom w:val="nil"/>
              <w:right w:val="nil"/>
            </w:tcBorders>
          </w:tcPr>
          <w:p w:rsidR="00F45358" w:rsidRPr="006A099E" w:rsidRDefault="005F1960" w:rsidP="008C6B5C">
            <w:pPr>
              <w:spacing w:after="0" w:line="240" w:lineRule="auto"/>
              <w:jc w:val="both"/>
              <w:rPr>
                <w:sz w:val="20"/>
                <w:szCs w:val="20"/>
              </w:rPr>
            </w:pPr>
            <w:r>
              <w:rPr>
                <w:sz w:val="20"/>
                <w:szCs w:val="20"/>
              </w:rPr>
              <w:t>AIF’s</w:t>
            </w:r>
            <w:r w:rsidRPr="006A099E">
              <w:rPr>
                <w:sz w:val="20"/>
                <w:szCs w:val="20"/>
              </w:rPr>
              <w:t xml:space="preserve"> </w:t>
            </w:r>
            <w:r w:rsidR="003C157A" w:rsidRPr="006A099E">
              <w:rPr>
                <w:sz w:val="20"/>
                <w:szCs w:val="20"/>
              </w:rPr>
              <w:t>Annual FDI Report</w:t>
            </w:r>
          </w:p>
        </w:tc>
        <w:tc>
          <w:tcPr>
            <w:tcW w:w="886"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146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45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5672BC" w:rsidRDefault="00F00A10" w:rsidP="00F45358">
            <w:pPr>
              <w:spacing w:after="0" w:line="240" w:lineRule="auto"/>
              <w:jc w:val="both"/>
              <w:rPr>
                <w:sz w:val="20"/>
                <w:szCs w:val="20"/>
              </w:rPr>
            </w:pPr>
            <w:r w:rsidRPr="005672BC">
              <w:rPr>
                <w:sz w:val="20"/>
                <w:szCs w:val="20"/>
              </w:rPr>
              <w:t xml:space="preserve">I confirm that </w:t>
            </w:r>
            <w:r w:rsidRPr="005672BC">
              <w:rPr>
                <w:rFonts w:asciiTheme="majorHAnsi" w:hAnsiTheme="majorHAnsi"/>
                <w:sz w:val="20"/>
                <w:szCs w:val="20"/>
              </w:rPr>
              <w:t>the information set out in this application form is correct and accurately</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5672BC" w:rsidRDefault="00F00A10" w:rsidP="00B258A3">
            <w:pPr>
              <w:spacing w:after="0" w:line="240" w:lineRule="auto"/>
              <w:jc w:val="both"/>
              <w:rPr>
                <w:sz w:val="20"/>
                <w:szCs w:val="20"/>
              </w:rPr>
            </w:pPr>
            <w:r w:rsidRPr="005672BC">
              <w:rPr>
                <w:rFonts w:asciiTheme="majorHAnsi" w:hAnsiTheme="majorHAnsi"/>
                <w:sz w:val="20"/>
                <w:szCs w:val="20"/>
              </w:rPr>
              <w:t xml:space="preserve">reflects the provisions in the Risk Management Process. </w:t>
            </w:r>
            <w:r w:rsidR="004D015B" w:rsidRPr="005672BC">
              <w:rPr>
                <w:rFonts w:asciiTheme="majorHAnsi" w:hAnsiTheme="majorHAnsi"/>
                <w:sz w:val="20"/>
                <w:szCs w:val="20"/>
              </w:rPr>
              <w:t>I further confirm that</w:t>
            </w:r>
            <w:r w:rsidR="00C041C6" w:rsidRPr="005672BC">
              <w:rPr>
                <w:rFonts w:asciiTheme="majorHAnsi" w:hAnsiTheme="majorHAnsi"/>
                <w:sz w:val="20"/>
                <w:szCs w:val="20"/>
              </w:rPr>
              <w:t xml:space="preserve"> that the Risk Management Process meets with the requirements of the </w:t>
            </w:r>
            <w:r w:rsidR="00C041C6" w:rsidRPr="005672BC">
              <w:rPr>
                <w:rFonts w:cs="Helvetica"/>
                <w:sz w:val="20"/>
                <w:szCs w:val="20"/>
              </w:rPr>
              <w:t>European Union (Alternative Investment Fund Managers) Regulations 2013</w:t>
            </w:r>
            <w:r w:rsidR="00C041C6" w:rsidRPr="005672BC">
              <w:rPr>
                <w:rFonts w:asciiTheme="majorHAnsi" w:hAnsiTheme="majorHAnsi"/>
                <w:sz w:val="20"/>
                <w:szCs w:val="20"/>
              </w:rPr>
              <w:t xml:space="preserve"> </w:t>
            </w:r>
            <w:r w:rsidR="005672BC">
              <w:rPr>
                <w:rFonts w:asciiTheme="majorHAnsi" w:hAnsiTheme="majorHAnsi"/>
                <w:sz w:val="20"/>
                <w:szCs w:val="20"/>
              </w:rPr>
              <w:t>and the Alternative Investment Fund Rulebook</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C47A4C" w:rsidRPr="006A099E" w:rsidTr="00A77982">
        <w:tc>
          <w:tcPr>
            <w:tcW w:w="897"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8275" w:type="dxa"/>
            <w:gridSpan w:val="4"/>
            <w:tcBorders>
              <w:top w:val="nil"/>
              <w:left w:val="nil"/>
              <w:bottom w:val="nil"/>
              <w:right w:val="nil"/>
            </w:tcBorders>
          </w:tcPr>
          <w:p w:rsidR="00E241D8" w:rsidRDefault="00E241D8" w:rsidP="00C47A4C">
            <w:pPr>
              <w:pBdr>
                <w:bottom w:val="single" w:sz="12" w:space="1" w:color="auto"/>
              </w:pBdr>
              <w:rPr>
                <w:b/>
                <w:bCs/>
                <w:sz w:val="20"/>
                <w:szCs w:val="20"/>
              </w:rPr>
            </w:pPr>
          </w:p>
          <w:p w:rsidR="00C47A4C" w:rsidRDefault="00C47A4C" w:rsidP="00C47A4C">
            <w:pPr>
              <w:pBdr>
                <w:bottom w:val="single" w:sz="12" w:space="1" w:color="auto"/>
              </w:pBdr>
              <w:rPr>
                <w:b/>
                <w:bCs/>
                <w:sz w:val="20"/>
                <w:szCs w:val="20"/>
              </w:rPr>
            </w:pPr>
            <w:r w:rsidRPr="005008E7">
              <w:rPr>
                <w:b/>
                <w:bCs/>
                <w:sz w:val="20"/>
                <w:szCs w:val="20"/>
              </w:rPr>
              <w:t>Signed</w:t>
            </w:r>
            <w:r>
              <w:rPr>
                <w:b/>
                <w:bCs/>
                <w:sz w:val="20"/>
                <w:szCs w:val="20"/>
              </w:rPr>
              <w:t xml:space="preserve"> (Director of </w:t>
            </w:r>
            <w:r w:rsidR="005F1960">
              <w:rPr>
                <w:b/>
                <w:bCs/>
                <w:sz w:val="20"/>
                <w:szCs w:val="20"/>
              </w:rPr>
              <w:t>Retail Investor</w:t>
            </w:r>
            <w:r w:rsidR="00B258A3">
              <w:rPr>
                <w:b/>
                <w:bCs/>
                <w:sz w:val="20"/>
                <w:szCs w:val="20"/>
              </w:rPr>
              <w:t xml:space="preserve"> AIF</w:t>
            </w:r>
            <w:r>
              <w:rPr>
                <w:b/>
                <w:bCs/>
                <w:sz w:val="20"/>
                <w:szCs w:val="20"/>
              </w:rPr>
              <w:t>/</w:t>
            </w:r>
            <w:r w:rsidR="00673701">
              <w:rPr>
                <w:b/>
                <w:bCs/>
                <w:sz w:val="20"/>
                <w:szCs w:val="20"/>
              </w:rPr>
              <w:t>AIFM</w:t>
            </w:r>
            <w:r>
              <w:rPr>
                <w:b/>
                <w:bCs/>
                <w:sz w:val="20"/>
                <w:szCs w:val="20"/>
              </w:rPr>
              <w:t>):</w:t>
            </w:r>
          </w:p>
          <w:p w:rsidR="00755E2C" w:rsidRDefault="00755E2C" w:rsidP="00C47A4C">
            <w:pPr>
              <w:pBdr>
                <w:bottom w:val="single" w:sz="12" w:space="1" w:color="auto"/>
              </w:pBdr>
              <w:rPr>
                <w:b/>
                <w:bCs/>
                <w:sz w:val="20"/>
                <w:szCs w:val="20"/>
              </w:rPr>
            </w:pPr>
          </w:p>
          <w:p w:rsidR="00C47A4C" w:rsidRPr="008C6B5C" w:rsidRDefault="00755E2C" w:rsidP="00F45358">
            <w:pPr>
              <w:spacing w:after="0" w:line="240" w:lineRule="auto"/>
              <w:jc w:val="both"/>
              <w:rPr>
                <w:rFonts w:asciiTheme="majorHAnsi" w:hAnsiTheme="majorHAnsi"/>
                <w:b/>
                <w:sz w:val="20"/>
              </w:rPr>
            </w:pPr>
            <w:r w:rsidRPr="005008E7">
              <w:rPr>
                <w:b/>
                <w:bCs/>
                <w:sz w:val="20"/>
                <w:szCs w:val="20"/>
              </w:rPr>
              <w:t>Name (in Print):</w:t>
            </w:r>
            <w:r>
              <w:rPr>
                <w:b/>
                <w:bCs/>
                <w:sz w:val="20"/>
                <w:szCs w:val="20"/>
              </w:rPr>
              <w:t xml:space="preserve"> </w:t>
            </w:r>
          </w:p>
        </w:tc>
        <w:tc>
          <w:tcPr>
            <w:tcW w:w="406"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459" w:type="dxa"/>
            <w:tcBorders>
              <w:top w:val="nil"/>
              <w:left w:val="nil"/>
              <w:bottom w:val="nil"/>
              <w:right w:val="nil"/>
            </w:tcBorders>
          </w:tcPr>
          <w:p w:rsidR="00C47A4C" w:rsidRPr="006A099E" w:rsidRDefault="00C47A4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Pr="005008E7" w:rsidRDefault="00755E2C" w:rsidP="008C6B5C">
            <w:pPr>
              <w:pBdr>
                <w:bottom w:val="single" w:sz="12" w:space="1" w:color="auto"/>
              </w:pBdr>
              <w:spacing w:before="240"/>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Default="00755E2C" w:rsidP="00C47A4C">
            <w:pPr>
              <w:pBdr>
                <w:bottom w:val="single" w:sz="12" w:space="1" w:color="auto"/>
              </w:pBdr>
              <w:rPr>
                <w:b/>
                <w:bCs/>
                <w:sz w:val="20"/>
                <w:szCs w:val="20"/>
              </w:rPr>
            </w:pPr>
            <w:r>
              <w:rPr>
                <w:b/>
                <w:bCs/>
                <w:sz w:val="20"/>
                <w:szCs w:val="20"/>
              </w:rPr>
              <w:t>Date:</w:t>
            </w:r>
          </w:p>
          <w:p w:rsidR="00755E2C" w:rsidRPr="005008E7" w:rsidRDefault="00755E2C" w:rsidP="00C47A4C">
            <w:pPr>
              <w:pBdr>
                <w:bottom w:val="single" w:sz="12" w:space="1" w:color="auto"/>
              </w:pBdr>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bl>
    <w:p w:rsidR="008C25E8" w:rsidRPr="005008E7" w:rsidRDefault="008C25E8" w:rsidP="005008E7">
      <w:pPr>
        <w:rPr>
          <w:b/>
          <w:bCs/>
          <w:sz w:val="20"/>
          <w:szCs w:val="20"/>
        </w:rPr>
      </w:pPr>
    </w:p>
    <w:p w:rsidR="006D4876" w:rsidRDefault="006D4876" w:rsidP="004A18F4">
      <w:pPr>
        <w:ind w:left="1440"/>
        <w:jc w:val="both"/>
        <w:rPr>
          <w:rFonts w:ascii="Lato" w:hAnsi="Lato"/>
          <w:sz w:val="20"/>
          <w:szCs w:val="20"/>
          <w:lang w:val="en-US"/>
        </w:rPr>
      </w:pPr>
      <w:r>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6" w:history="1">
        <w:r>
          <w:rPr>
            <w:rStyle w:val="Hyperlink"/>
            <w:rFonts w:ascii="Lato" w:hAnsi="Lato"/>
            <w:sz w:val="20"/>
            <w:szCs w:val="20"/>
            <w:lang w:val="en-US"/>
          </w:rPr>
          <w:t>www.centralbank.ie/fns/privacy-statement</w:t>
        </w:r>
      </w:hyperlink>
      <w:r>
        <w:rPr>
          <w:rFonts w:ascii="Lato" w:hAnsi="Lato"/>
          <w:sz w:val="20"/>
          <w:szCs w:val="20"/>
          <w:lang w:val="en-US"/>
        </w:rPr>
        <w:t>.</w:t>
      </w:r>
    </w:p>
    <w:p w:rsidR="00055B41" w:rsidRPr="006A099E" w:rsidRDefault="00055B41">
      <w:pPr>
        <w:rPr>
          <w:sz w:val="20"/>
          <w:szCs w:val="20"/>
        </w:rPr>
      </w:pPr>
    </w:p>
    <w:p w:rsidR="00055B41" w:rsidRPr="006A099E" w:rsidRDefault="00055B41">
      <w:pPr>
        <w:rPr>
          <w:sz w:val="20"/>
          <w:szCs w:val="20"/>
        </w:rPr>
      </w:pPr>
      <w:r w:rsidRPr="006A099E">
        <w:rPr>
          <w:sz w:val="20"/>
          <w:szCs w:val="20"/>
        </w:rPr>
        <w:br w:type="page"/>
      </w:r>
    </w:p>
    <w:p w:rsidR="00D563EC" w:rsidRDefault="00A0362F">
      <w:r>
        <w:rPr>
          <w:noProof/>
          <w:lang w:eastAsia="en-IE"/>
        </w:rPr>
        <w:lastRenderedPageBreak/>
        <w:drawing>
          <wp:anchor distT="0" distB="0" distL="114300" distR="114300" simplePos="0" relativeHeight="251678720" behindDoc="1" locked="0" layoutInCell="1" allowOverlap="1">
            <wp:simplePos x="0" y="0"/>
            <wp:positionH relativeFrom="page">
              <wp:align>right</wp:align>
            </wp:positionH>
            <wp:positionV relativeFrom="paragraph">
              <wp:posOffset>-739140</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sectPr w:rsidR="00D563EC" w:rsidSect="00B456B3">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56" w:rsidRDefault="003A4356" w:rsidP="004F1F53">
      <w:pPr>
        <w:spacing w:after="0" w:line="240" w:lineRule="auto"/>
      </w:pPr>
      <w:r>
        <w:separator/>
      </w:r>
    </w:p>
  </w:endnote>
  <w:endnote w:type="continuationSeparator" w:id="0">
    <w:p w:rsidR="003A4356" w:rsidRDefault="003A4356"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F2" w:rsidRDefault="0062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F2" w:rsidRDefault="00624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F2" w:rsidRDefault="0062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56" w:rsidRDefault="003A4356" w:rsidP="004F1F53">
      <w:pPr>
        <w:spacing w:after="0" w:line="240" w:lineRule="auto"/>
      </w:pPr>
      <w:r>
        <w:separator/>
      </w:r>
    </w:p>
  </w:footnote>
  <w:footnote w:type="continuationSeparator" w:id="0">
    <w:p w:rsidR="003A4356" w:rsidRDefault="003A4356" w:rsidP="004F1F53">
      <w:pPr>
        <w:spacing w:after="0" w:line="240" w:lineRule="auto"/>
      </w:pPr>
      <w:r>
        <w:continuationSeparator/>
      </w:r>
    </w:p>
  </w:footnote>
  <w:footnote w:id="1">
    <w:p w:rsidR="0089746F" w:rsidRPr="008C6B5C" w:rsidRDefault="0089746F" w:rsidP="00A02084">
      <w:pPr>
        <w:pStyle w:val="FootnoteText"/>
        <w:rPr>
          <w:rFonts w:asciiTheme="majorHAnsi" w:hAnsiTheme="majorHAnsi"/>
        </w:rPr>
      </w:pPr>
      <w:r w:rsidRPr="008C6B5C">
        <w:rPr>
          <w:rStyle w:val="FootnoteReference"/>
          <w:rFonts w:asciiTheme="majorHAnsi" w:hAnsiTheme="majorHAnsi"/>
          <w:sz w:val="18"/>
          <w:szCs w:val="18"/>
        </w:rPr>
        <w:t>*</w:t>
      </w:r>
      <w:r w:rsidRPr="008C6B5C">
        <w:rPr>
          <w:rFonts w:asciiTheme="majorHAnsi" w:hAnsiTheme="majorHAnsi"/>
          <w:sz w:val="18"/>
          <w:szCs w:val="18"/>
        </w:rPr>
        <w:t xml:space="preserve"> S</w:t>
      </w:r>
      <w:r w:rsidR="00B7690C">
        <w:rPr>
          <w:rFonts w:asciiTheme="majorHAnsi" w:hAnsiTheme="majorHAnsi"/>
          <w:sz w:val="18"/>
        </w:rPr>
        <w:t>ections 3.5</w:t>
      </w:r>
      <w:r w:rsidR="00DB047A" w:rsidRPr="008C6B5C">
        <w:rPr>
          <w:rFonts w:asciiTheme="majorHAnsi" w:hAnsiTheme="majorHAnsi"/>
          <w:sz w:val="18"/>
        </w:rPr>
        <w:t xml:space="preserve"> – 3</w:t>
      </w:r>
      <w:r w:rsidR="00B7690C">
        <w:rPr>
          <w:rFonts w:asciiTheme="majorHAnsi" w:hAnsiTheme="majorHAnsi"/>
          <w:sz w:val="18"/>
        </w:rPr>
        <w:t>.7</w:t>
      </w:r>
      <w:r w:rsidR="00B258A3">
        <w:rPr>
          <w:rFonts w:asciiTheme="majorHAnsi" w:hAnsiTheme="majorHAnsi"/>
          <w:sz w:val="18"/>
        </w:rPr>
        <w:t xml:space="preserve"> are not applicable for </w:t>
      </w:r>
      <w:r w:rsidR="005F1960">
        <w:rPr>
          <w:rFonts w:asciiTheme="majorHAnsi" w:hAnsiTheme="majorHAnsi"/>
          <w:sz w:val="18"/>
        </w:rPr>
        <w:t>Retail Investor</w:t>
      </w:r>
      <w:r w:rsidR="00B258A3">
        <w:rPr>
          <w:rFonts w:asciiTheme="majorHAnsi" w:hAnsiTheme="majorHAnsi"/>
          <w:sz w:val="18"/>
        </w:rPr>
        <w:t xml:space="preserve"> AIFs</w:t>
      </w:r>
      <w:r w:rsidRPr="008C6B5C">
        <w:rPr>
          <w:rFonts w:asciiTheme="majorHAnsi" w:hAnsiTheme="majorHAnsi"/>
          <w:sz w:val="18"/>
        </w:rPr>
        <w:t xml:space="preserve"> applying the commitment approach </w:t>
      </w:r>
      <w:r w:rsidRPr="008C6B5C">
        <w:rPr>
          <w:rFonts w:asciiTheme="majorHAnsi" w:hAnsiTheme="majorHAnsi"/>
          <w:b/>
          <w:sz w:val="18"/>
        </w:rPr>
        <w:t>only</w:t>
      </w:r>
      <w:r w:rsidRPr="008C6B5C">
        <w:rPr>
          <w:rFonts w:asciiTheme="majorHAnsi" w:hAnsiTheme="majorHAnsi"/>
          <w:sz w:val="18"/>
        </w:rPr>
        <w:t xml:space="preserve"> to measure global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624CF2" w:rsidP="00624CF2">
    <w:fldSimple w:instr=" DOCPROPERTY bjHeaderEvenPageDocProperty \* MERGEFORMAT " w:fldLock="1">
      <w:r w:rsidRPr="00624CF2">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65278B" w:rsidRPr="008D0BD1" w:rsidTr="0065278B">
      <w:tc>
        <w:tcPr>
          <w:tcW w:w="715" w:type="dxa"/>
          <w:tcBorders>
            <w:right w:val="single" w:sz="4" w:space="0" w:color="0083A0" w:themeColor="accent1"/>
          </w:tcBorders>
        </w:tcPr>
        <w:p w:rsidR="0065278B" w:rsidRPr="008D0BD1" w:rsidRDefault="0065278B">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624CF2">
            <w:rPr>
              <w:noProof/>
              <w:sz w:val="14"/>
              <w:szCs w:val="14"/>
            </w:rPr>
            <w:t>2</w:t>
          </w:r>
          <w:r w:rsidRPr="008D0BD1">
            <w:rPr>
              <w:noProof/>
              <w:sz w:val="14"/>
              <w:szCs w:val="14"/>
            </w:rPr>
            <w:fldChar w:fldCharType="end"/>
          </w:r>
        </w:p>
      </w:tc>
      <w:tc>
        <w:tcPr>
          <w:tcW w:w="1232" w:type="dxa"/>
          <w:tcBorders>
            <w:left w:val="single" w:sz="4" w:space="0" w:color="0083A0" w:themeColor="accent1"/>
            <w:right w:val="single" w:sz="4" w:space="0" w:color="0083A0" w:themeColor="accent1"/>
          </w:tcBorders>
        </w:tcPr>
        <w:p w:rsidR="0065278B" w:rsidRPr="008D0BD1" w:rsidRDefault="005672BC">
          <w:pPr>
            <w:pStyle w:val="Header"/>
            <w:rPr>
              <w:sz w:val="14"/>
              <w:szCs w:val="14"/>
            </w:rPr>
          </w:pPr>
          <w:r>
            <w:rPr>
              <w:sz w:val="14"/>
              <w:szCs w:val="14"/>
            </w:rPr>
            <w:t>Section 13</w:t>
          </w:r>
        </w:p>
      </w:tc>
      <w:tc>
        <w:tcPr>
          <w:tcW w:w="1708" w:type="dxa"/>
          <w:tcBorders>
            <w:left w:val="single" w:sz="4" w:space="0" w:color="0083A0" w:themeColor="accent1"/>
          </w:tcBorders>
        </w:tcPr>
        <w:p w:rsidR="0065278B" w:rsidRPr="008D0BD1" w:rsidRDefault="0065278B">
          <w:pPr>
            <w:pStyle w:val="Header"/>
            <w:rPr>
              <w:sz w:val="14"/>
              <w:szCs w:val="14"/>
            </w:rPr>
          </w:pPr>
          <w:r>
            <w:rPr>
              <w:sz w:val="14"/>
              <w:szCs w:val="14"/>
            </w:rPr>
            <w:t>Central Bank of Ireland</w:t>
          </w:r>
        </w:p>
      </w:tc>
    </w:tr>
  </w:tbl>
  <w:p w:rsidR="008D0BD1" w:rsidRPr="008D0BD1" w:rsidRDefault="008D0BD1">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624CF2" w:rsidP="00624CF2">
    <w:fldSimple w:instr=" DOCPROPERTY bjHeaderBothDocProperty \* MERGEFORMAT " w:fldLock="1">
      <w:r w:rsidRPr="00624CF2">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8D0BD1" w:rsidRPr="008D0BD1" w:rsidTr="00D60F34">
      <w:tc>
        <w:tcPr>
          <w:tcW w:w="5103" w:type="dxa"/>
        </w:tcPr>
        <w:p w:rsidR="008D0BD1" w:rsidRPr="008D0BD1" w:rsidRDefault="008D0BD1" w:rsidP="008D0BD1">
          <w:pPr>
            <w:pStyle w:val="Header"/>
            <w:rPr>
              <w:sz w:val="14"/>
              <w:szCs w:val="14"/>
            </w:rPr>
          </w:pPr>
        </w:p>
      </w:tc>
      <w:tc>
        <w:tcPr>
          <w:tcW w:w="2381" w:type="dxa"/>
          <w:tcBorders>
            <w:right w:val="single" w:sz="4" w:space="0" w:color="0083A0" w:themeColor="accent1"/>
          </w:tcBorders>
        </w:tcPr>
        <w:p w:rsidR="008D0BD1" w:rsidRPr="008D0BD1" w:rsidRDefault="008C4478" w:rsidP="0065278B">
          <w:pPr>
            <w:pStyle w:val="Header"/>
            <w:jc w:val="right"/>
            <w:rPr>
              <w:sz w:val="14"/>
              <w:szCs w:val="14"/>
            </w:rPr>
          </w:pPr>
          <w:r>
            <w:rPr>
              <w:sz w:val="14"/>
              <w:szCs w:val="14"/>
            </w:rPr>
            <w:t>Central Bank of Ireland</w:t>
          </w:r>
        </w:p>
      </w:tc>
      <w:tc>
        <w:tcPr>
          <w:tcW w:w="1474" w:type="dxa"/>
          <w:tcBorders>
            <w:left w:val="single" w:sz="4" w:space="0" w:color="0083A0" w:themeColor="accent1"/>
            <w:right w:val="single" w:sz="4" w:space="0" w:color="0083A0" w:themeColor="accent1"/>
          </w:tcBorders>
        </w:tcPr>
        <w:p w:rsidR="008D0BD1" w:rsidRPr="008D0BD1" w:rsidRDefault="00AC5E54" w:rsidP="0065278B">
          <w:pPr>
            <w:pStyle w:val="Header"/>
            <w:jc w:val="right"/>
            <w:rPr>
              <w:sz w:val="14"/>
              <w:szCs w:val="14"/>
            </w:rPr>
          </w:pPr>
          <w:r>
            <w:rPr>
              <w:sz w:val="14"/>
              <w:szCs w:val="14"/>
            </w:rPr>
            <w:t>Section 13</w:t>
          </w:r>
        </w:p>
      </w:tc>
      <w:tc>
        <w:tcPr>
          <w:tcW w:w="845" w:type="dxa"/>
          <w:tcBorders>
            <w:left w:val="single" w:sz="4" w:space="0" w:color="0083A0" w:themeColor="accent1"/>
          </w:tcBorders>
        </w:tcPr>
        <w:p w:rsidR="008D0BD1" w:rsidRPr="008D0BD1" w:rsidRDefault="008C4478" w:rsidP="008C4478">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624CF2">
            <w:rPr>
              <w:noProof/>
              <w:sz w:val="14"/>
              <w:szCs w:val="14"/>
            </w:rPr>
            <w:t>3</w:t>
          </w:r>
          <w:r w:rsidRPr="008D0BD1">
            <w:rPr>
              <w:noProof/>
              <w:sz w:val="14"/>
              <w:szCs w:val="14"/>
            </w:rPr>
            <w:fldChar w:fldCharType="end"/>
          </w:r>
        </w:p>
      </w:tc>
    </w:tr>
  </w:tbl>
  <w:p w:rsidR="008D0BD1" w:rsidRPr="008D0BD1" w:rsidRDefault="008D0BD1">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4F" w:rsidRDefault="00624CF2" w:rsidP="00624CF2">
    <w:pPr>
      <w:pStyle w:val="Header"/>
    </w:pPr>
    <w:fldSimple w:instr=" DOCPROPERTY bjHeaderFirstPageDocProperty \* MERGEFORMAT " w:fldLock="1">
      <w:r w:rsidRPr="00624CF2">
        <w:rPr>
          <w:rFonts w:ascii="Times New Roman" w:hAnsi="Times New Roman" w:cs="Times New Roman"/>
          <w:color w:val="000000"/>
          <w:sz w:val="24"/>
        </w:rPr>
        <w:t xml:space="preserve"> </w:t>
      </w:r>
    </w:fldSimple>
    <w:r w:rsidR="00D60F34">
      <w:rPr>
        <w:noProof/>
        <w:lang w:eastAsia="en-IE"/>
      </w:rPr>
      <w:drawing>
        <wp:anchor distT="0" distB="0" distL="114300" distR="114300" simplePos="0" relativeHeight="251661312" behindDoc="1" locked="0" layoutInCell="1" allowOverlap="1" wp14:anchorId="362E3F66" wp14:editId="2742F26A">
          <wp:simplePos x="0" y="0"/>
          <wp:positionH relativeFrom="column">
            <wp:posOffset>-729615</wp:posOffset>
          </wp:positionH>
          <wp:positionV relativeFrom="paragraph">
            <wp:posOffset>-180340</wp:posOffset>
          </wp:positionV>
          <wp:extent cx="7575939" cy="107156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62454F">
      <w:rPr>
        <w:noProof/>
        <w:lang w:eastAsia="en-IE"/>
      </w:rPr>
      <mc:AlternateContent>
        <mc:Choice Requires="wps">
          <w:drawing>
            <wp:anchor distT="0" distB="0" distL="114300" distR="114300" simplePos="0" relativeHeight="251659264" behindDoc="0" locked="1" layoutInCell="1" allowOverlap="1">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54F" w:rsidRDefault="006245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rsidR="0062454F" w:rsidRDefault="0062454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D2"/>
    <w:multiLevelType w:val="hybridMultilevel"/>
    <w:tmpl w:val="94E0CE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7AA"/>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0F465A"/>
    <w:multiLevelType w:val="multilevel"/>
    <w:tmpl w:val="6A0E02A2"/>
    <w:lvl w:ilvl="0">
      <w:start w:val="1"/>
      <w:numFmt w:val="bullet"/>
      <w:pStyle w:val="CBBulletedText"/>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 w15:restartNumberingAfterBreak="0">
    <w:nsid w:val="252C46D6"/>
    <w:multiLevelType w:val="hybridMultilevel"/>
    <w:tmpl w:val="DB54C8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E7BF9"/>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1AB3A02"/>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5A06E1"/>
    <w:multiLevelType w:val="hybridMultilevel"/>
    <w:tmpl w:val="C7E899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8F3213"/>
    <w:multiLevelType w:val="hybridMultilevel"/>
    <w:tmpl w:val="24E61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70"/>
  <w:drawingGridVerticalSpacing w:val="17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6F"/>
    <w:rsid w:val="0001799A"/>
    <w:rsid w:val="00022233"/>
    <w:rsid w:val="0002520E"/>
    <w:rsid w:val="00030C2E"/>
    <w:rsid w:val="000417A9"/>
    <w:rsid w:val="00055B41"/>
    <w:rsid w:val="00065806"/>
    <w:rsid w:val="00090FCC"/>
    <w:rsid w:val="000A5BB5"/>
    <w:rsid w:val="00113204"/>
    <w:rsid w:val="00120920"/>
    <w:rsid w:val="0013439B"/>
    <w:rsid w:val="00156AA3"/>
    <w:rsid w:val="001571CE"/>
    <w:rsid w:val="001606B1"/>
    <w:rsid w:val="00160D60"/>
    <w:rsid w:val="001709AF"/>
    <w:rsid w:val="001C2CC8"/>
    <w:rsid w:val="001C6BD3"/>
    <w:rsid w:val="001C7A27"/>
    <w:rsid w:val="001E53C0"/>
    <w:rsid w:val="00200327"/>
    <w:rsid w:val="0022526C"/>
    <w:rsid w:val="002263E9"/>
    <w:rsid w:val="00241DB5"/>
    <w:rsid w:val="00266C54"/>
    <w:rsid w:val="002763ED"/>
    <w:rsid w:val="002818E7"/>
    <w:rsid w:val="002943A7"/>
    <w:rsid w:val="002B4491"/>
    <w:rsid w:val="002C567B"/>
    <w:rsid w:val="002E0BA6"/>
    <w:rsid w:val="002E3B1E"/>
    <w:rsid w:val="002E54F0"/>
    <w:rsid w:val="002F0F89"/>
    <w:rsid w:val="002F7F0C"/>
    <w:rsid w:val="00345CAB"/>
    <w:rsid w:val="003541B6"/>
    <w:rsid w:val="00361CB7"/>
    <w:rsid w:val="00372525"/>
    <w:rsid w:val="003A4356"/>
    <w:rsid w:val="003C157A"/>
    <w:rsid w:val="003C745B"/>
    <w:rsid w:val="003E7F28"/>
    <w:rsid w:val="003F0CC6"/>
    <w:rsid w:val="003F53B9"/>
    <w:rsid w:val="003F6E6A"/>
    <w:rsid w:val="004000BF"/>
    <w:rsid w:val="00402C51"/>
    <w:rsid w:val="004222FB"/>
    <w:rsid w:val="00427F12"/>
    <w:rsid w:val="004376C1"/>
    <w:rsid w:val="00454FCB"/>
    <w:rsid w:val="0046419B"/>
    <w:rsid w:val="004710DD"/>
    <w:rsid w:val="00480061"/>
    <w:rsid w:val="00485629"/>
    <w:rsid w:val="00496008"/>
    <w:rsid w:val="004A18F4"/>
    <w:rsid w:val="004B053A"/>
    <w:rsid w:val="004D015B"/>
    <w:rsid w:val="004D0EC8"/>
    <w:rsid w:val="004E682D"/>
    <w:rsid w:val="004F1F53"/>
    <w:rsid w:val="005008E7"/>
    <w:rsid w:val="00503B7F"/>
    <w:rsid w:val="00506E1E"/>
    <w:rsid w:val="005142ED"/>
    <w:rsid w:val="00517CE8"/>
    <w:rsid w:val="00533AD5"/>
    <w:rsid w:val="005379B9"/>
    <w:rsid w:val="00543A62"/>
    <w:rsid w:val="005672BC"/>
    <w:rsid w:val="00570B95"/>
    <w:rsid w:val="0058676D"/>
    <w:rsid w:val="005D0AB3"/>
    <w:rsid w:val="005E1168"/>
    <w:rsid w:val="005E24BA"/>
    <w:rsid w:val="005F1960"/>
    <w:rsid w:val="00600BAA"/>
    <w:rsid w:val="0062454F"/>
    <w:rsid w:val="00624CF2"/>
    <w:rsid w:val="00634515"/>
    <w:rsid w:val="00647F32"/>
    <w:rsid w:val="00650E73"/>
    <w:rsid w:val="0065193C"/>
    <w:rsid w:val="0065278B"/>
    <w:rsid w:val="0065685D"/>
    <w:rsid w:val="00661E7B"/>
    <w:rsid w:val="00673701"/>
    <w:rsid w:val="00673F14"/>
    <w:rsid w:val="006930A5"/>
    <w:rsid w:val="006954A0"/>
    <w:rsid w:val="00695FA5"/>
    <w:rsid w:val="006A099E"/>
    <w:rsid w:val="006B61E4"/>
    <w:rsid w:val="006B6DB5"/>
    <w:rsid w:val="006D4876"/>
    <w:rsid w:val="006E20B1"/>
    <w:rsid w:val="006E391D"/>
    <w:rsid w:val="00701C89"/>
    <w:rsid w:val="00703D75"/>
    <w:rsid w:val="0070401B"/>
    <w:rsid w:val="007065A8"/>
    <w:rsid w:val="0073569B"/>
    <w:rsid w:val="00741877"/>
    <w:rsid w:val="00746BA6"/>
    <w:rsid w:val="007527D2"/>
    <w:rsid w:val="00755E2C"/>
    <w:rsid w:val="00761763"/>
    <w:rsid w:val="00763DDA"/>
    <w:rsid w:val="007732C2"/>
    <w:rsid w:val="00774870"/>
    <w:rsid w:val="00782CD5"/>
    <w:rsid w:val="00786D8E"/>
    <w:rsid w:val="00792138"/>
    <w:rsid w:val="007931B3"/>
    <w:rsid w:val="007B6465"/>
    <w:rsid w:val="007C2783"/>
    <w:rsid w:val="007C2CED"/>
    <w:rsid w:val="007D2A2E"/>
    <w:rsid w:val="007D4E6C"/>
    <w:rsid w:val="007F7EEF"/>
    <w:rsid w:val="008023B3"/>
    <w:rsid w:val="00803AD7"/>
    <w:rsid w:val="00807E02"/>
    <w:rsid w:val="0081716D"/>
    <w:rsid w:val="008547C1"/>
    <w:rsid w:val="00884738"/>
    <w:rsid w:val="0089746F"/>
    <w:rsid w:val="008C25D0"/>
    <w:rsid w:val="008C25E8"/>
    <w:rsid w:val="008C2CDF"/>
    <w:rsid w:val="008C4478"/>
    <w:rsid w:val="008C495B"/>
    <w:rsid w:val="008C6B5C"/>
    <w:rsid w:val="008C7C20"/>
    <w:rsid w:val="008D0BD1"/>
    <w:rsid w:val="00925B9B"/>
    <w:rsid w:val="00933B61"/>
    <w:rsid w:val="0093527A"/>
    <w:rsid w:val="00952128"/>
    <w:rsid w:val="00954A01"/>
    <w:rsid w:val="009644BD"/>
    <w:rsid w:val="0096450A"/>
    <w:rsid w:val="009A2059"/>
    <w:rsid w:val="009D0511"/>
    <w:rsid w:val="009D2180"/>
    <w:rsid w:val="009D3E0A"/>
    <w:rsid w:val="009E35B9"/>
    <w:rsid w:val="009F338F"/>
    <w:rsid w:val="009F3886"/>
    <w:rsid w:val="00A000F1"/>
    <w:rsid w:val="00A02084"/>
    <w:rsid w:val="00A0362F"/>
    <w:rsid w:val="00A11720"/>
    <w:rsid w:val="00A21C44"/>
    <w:rsid w:val="00A27703"/>
    <w:rsid w:val="00A30105"/>
    <w:rsid w:val="00A6754E"/>
    <w:rsid w:val="00A85820"/>
    <w:rsid w:val="00A931A2"/>
    <w:rsid w:val="00AB2258"/>
    <w:rsid w:val="00AC5E54"/>
    <w:rsid w:val="00AC73C1"/>
    <w:rsid w:val="00AE01AC"/>
    <w:rsid w:val="00AF6B87"/>
    <w:rsid w:val="00B258A3"/>
    <w:rsid w:val="00B37964"/>
    <w:rsid w:val="00B44F01"/>
    <w:rsid w:val="00B456B3"/>
    <w:rsid w:val="00B47164"/>
    <w:rsid w:val="00B5253A"/>
    <w:rsid w:val="00B72ACA"/>
    <w:rsid w:val="00B7690C"/>
    <w:rsid w:val="00B80DEA"/>
    <w:rsid w:val="00B81DDF"/>
    <w:rsid w:val="00B84DDC"/>
    <w:rsid w:val="00B85535"/>
    <w:rsid w:val="00BC2ADA"/>
    <w:rsid w:val="00BD15B9"/>
    <w:rsid w:val="00BD37FA"/>
    <w:rsid w:val="00BD6398"/>
    <w:rsid w:val="00BE16A9"/>
    <w:rsid w:val="00C0329C"/>
    <w:rsid w:val="00C041C6"/>
    <w:rsid w:val="00C04555"/>
    <w:rsid w:val="00C20616"/>
    <w:rsid w:val="00C4131E"/>
    <w:rsid w:val="00C47A4C"/>
    <w:rsid w:val="00C53203"/>
    <w:rsid w:val="00C54889"/>
    <w:rsid w:val="00C61D7E"/>
    <w:rsid w:val="00C711E6"/>
    <w:rsid w:val="00C8650B"/>
    <w:rsid w:val="00C87DFF"/>
    <w:rsid w:val="00CB39F3"/>
    <w:rsid w:val="00CD5D85"/>
    <w:rsid w:val="00D040BD"/>
    <w:rsid w:val="00D1487B"/>
    <w:rsid w:val="00D158BB"/>
    <w:rsid w:val="00D245B7"/>
    <w:rsid w:val="00D37175"/>
    <w:rsid w:val="00D563EC"/>
    <w:rsid w:val="00D56982"/>
    <w:rsid w:val="00D60F34"/>
    <w:rsid w:val="00D63B40"/>
    <w:rsid w:val="00D937A5"/>
    <w:rsid w:val="00DA1E4E"/>
    <w:rsid w:val="00DB047A"/>
    <w:rsid w:val="00DD60A6"/>
    <w:rsid w:val="00DE5B19"/>
    <w:rsid w:val="00E02933"/>
    <w:rsid w:val="00E20B62"/>
    <w:rsid w:val="00E241D8"/>
    <w:rsid w:val="00E27234"/>
    <w:rsid w:val="00E32D6D"/>
    <w:rsid w:val="00E35D8F"/>
    <w:rsid w:val="00E411DC"/>
    <w:rsid w:val="00E448A7"/>
    <w:rsid w:val="00E5376C"/>
    <w:rsid w:val="00E660DD"/>
    <w:rsid w:val="00E73280"/>
    <w:rsid w:val="00E745EC"/>
    <w:rsid w:val="00EA7A65"/>
    <w:rsid w:val="00ED37D2"/>
    <w:rsid w:val="00ED6E34"/>
    <w:rsid w:val="00F00A10"/>
    <w:rsid w:val="00F014F6"/>
    <w:rsid w:val="00F33CC0"/>
    <w:rsid w:val="00F3729A"/>
    <w:rsid w:val="00F379DD"/>
    <w:rsid w:val="00F42E46"/>
    <w:rsid w:val="00F45358"/>
    <w:rsid w:val="00F829DC"/>
    <w:rsid w:val="00F863F6"/>
    <w:rsid w:val="00FB7763"/>
    <w:rsid w:val="00FC4D33"/>
    <w:rsid w:val="00FE1D7A"/>
    <w:rsid w:val="00FF6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62"/>
  </w:style>
  <w:style w:type="paragraph" w:styleId="Heading7">
    <w:name w:val="heading 7"/>
    <w:basedOn w:val="Normal"/>
    <w:next w:val="Normal"/>
    <w:link w:val="Heading7Char"/>
    <w:qFormat/>
    <w:rsid w:val="00A02084"/>
    <w:pPr>
      <w:keepNext/>
      <w:spacing w:after="0" w:line="240" w:lineRule="auto"/>
      <w:ind w:left="113" w:right="113"/>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3"/>
  </w:style>
  <w:style w:type="paragraph" w:styleId="Footer">
    <w:name w:val="footer"/>
    <w:basedOn w:val="Normal"/>
    <w:link w:val="FooterChar"/>
    <w:uiPriority w:val="99"/>
    <w:unhideWhenUsed/>
    <w:rsid w:val="004F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3"/>
  </w:style>
  <w:style w:type="paragraph" w:customStyle="1" w:styleId="CBCoverTitleBold">
    <w:name w:val="CB_Cover Title_Bold"/>
    <w:basedOn w:val="Normal"/>
    <w:qFormat/>
    <w:rsid w:val="00F863F6"/>
    <w:pPr>
      <w:spacing w:line="580" w:lineRule="exact"/>
    </w:pPr>
    <w:rPr>
      <w:b/>
      <w:color w:val="0083A0" w:themeColor="accent1"/>
      <w:sz w:val="54"/>
      <w:szCs w:val="54"/>
    </w:rPr>
  </w:style>
  <w:style w:type="paragraph" w:customStyle="1" w:styleId="CBCoverSubtitleLight">
    <w:name w:val="CB_Cover Subtitle_Light"/>
    <w:basedOn w:val="Normal"/>
    <w:qFormat/>
    <w:rsid w:val="00F863F6"/>
    <w:pPr>
      <w:spacing w:line="580" w:lineRule="exact"/>
    </w:pPr>
    <w:rPr>
      <w:rFonts w:ascii="Lato Light" w:hAnsi="Lato Light"/>
      <w:color w:val="0083A0" w:themeColor="accent1"/>
      <w:sz w:val="54"/>
      <w:szCs w:val="54"/>
    </w:rPr>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MainBodyText">
    <w:name w:val="CB_Main Body Text"/>
    <w:basedOn w:val="Normal"/>
    <w:qFormat/>
    <w:rsid w:val="00B81DDF"/>
    <w:pPr>
      <w:spacing w:after="170" w:line="230" w:lineRule="exact"/>
    </w:pPr>
    <w:rPr>
      <w:sz w:val="19"/>
      <w:szCs w:val="19"/>
    </w:rPr>
  </w:style>
  <w:style w:type="paragraph" w:customStyle="1" w:styleId="CBIntroParagraphText">
    <w:name w:val="CB_Intro Paragraph Text"/>
    <w:basedOn w:val="Normal"/>
    <w:qFormat/>
    <w:rsid w:val="004000BF"/>
    <w:pPr>
      <w:spacing w:after="170" w:line="300" w:lineRule="exact"/>
    </w:pPr>
    <w:rPr>
      <w:color w:val="0083A0" w:themeColor="accent1"/>
      <w:sz w:val="26"/>
      <w:szCs w:val="26"/>
    </w:rPr>
  </w:style>
  <w:style w:type="paragraph" w:customStyle="1" w:styleId="CBSubheadA">
    <w:name w:val="CB_Subhead A"/>
    <w:basedOn w:val="CBMainBodyText"/>
    <w:qFormat/>
    <w:rsid w:val="00A21C44"/>
    <w:pPr>
      <w:spacing w:before="113" w:after="57" w:line="260" w:lineRule="exact"/>
    </w:pPr>
    <w:rPr>
      <w:color w:val="09506C" w:themeColor="background2"/>
      <w:sz w:val="24"/>
      <w:szCs w:val="24"/>
    </w:rPr>
  </w:style>
  <w:style w:type="paragraph" w:customStyle="1" w:styleId="CBBulletedText">
    <w:name w:val="CB_Bulleted Text"/>
    <w:basedOn w:val="CBMainBodyText"/>
    <w:qFormat/>
    <w:rsid w:val="009A2059"/>
    <w:pPr>
      <w:numPr>
        <w:numId w:val="1"/>
      </w:numPr>
      <w:tabs>
        <w:tab w:val="left" w:pos="284"/>
      </w:tabs>
      <w:spacing w:after="113"/>
    </w:pPr>
  </w:style>
  <w:style w:type="paragraph" w:customStyle="1" w:styleId="CBSubheadB">
    <w:name w:val="CB_Subhead B"/>
    <w:basedOn w:val="CBSubheadA"/>
    <w:qFormat/>
    <w:rsid w:val="00A21C44"/>
    <w:pPr>
      <w:spacing w:line="240" w:lineRule="exact"/>
    </w:pPr>
    <w:rPr>
      <w:b/>
      <w:color w:val="0083A0" w:themeColor="accent1"/>
      <w:sz w:val="19"/>
      <w:szCs w:val="19"/>
    </w:rPr>
  </w:style>
  <w:style w:type="paragraph" w:customStyle="1" w:styleId="CBHighlightedTextinBox">
    <w:name w:val="CB_Highlighted Text in Box"/>
    <w:basedOn w:val="CBMainBodyText"/>
    <w:qFormat/>
    <w:rsid w:val="009644BD"/>
    <w:pPr>
      <w:spacing w:line="260" w:lineRule="exact"/>
    </w:pPr>
    <w:rPr>
      <w:rFonts w:ascii="Lato Semibold" w:hAnsi="Lato Semibold"/>
      <w:color w:val="FFFFFF" w:themeColor="background1"/>
      <w:sz w:val="20"/>
      <w:szCs w:val="20"/>
    </w:rPr>
  </w:style>
  <w:style w:type="paragraph" w:customStyle="1" w:styleId="CBTableTitle">
    <w:name w:val="CB_Table Title"/>
    <w:basedOn w:val="CBMainBodyText"/>
    <w:qFormat/>
    <w:rsid w:val="00A21C44"/>
    <w:pPr>
      <w:spacing w:line="260" w:lineRule="exact"/>
    </w:pPr>
    <w:rPr>
      <w:rFonts w:ascii="Lato Semibold" w:hAnsi="Lato Semibold"/>
      <w:color w:val="007DC3" w:themeColor="accent4"/>
      <w:sz w:val="20"/>
      <w:szCs w:val="20"/>
    </w:rPr>
  </w:style>
  <w:style w:type="character" w:customStyle="1" w:styleId="CBTableTitleDividerLine">
    <w:name w:val="CB_Table Title Divider Line"/>
    <w:basedOn w:val="DefaultParagraphFont"/>
    <w:uiPriority w:val="1"/>
    <w:qFormat/>
    <w:rsid w:val="00022233"/>
    <w:rPr>
      <w:color w:val="D4E388" w:themeColor="accent3"/>
    </w:rPr>
  </w:style>
  <w:style w:type="table" w:customStyle="1" w:styleId="CBTable">
    <w:name w:val="CB_Table"/>
    <w:basedOn w:val="TableNormal"/>
    <w:uiPriority w:val="99"/>
    <w:rsid w:val="007065A8"/>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olor w:val="09506C" w:themeColor="background2"/>
        <w:sz w:val="24"/>
      </w:rPr>
      <w:tblPr/>
      <w:tcPr>
        <w:shd w:val="clear" w:color="auto" w:fill="D4E388" w:themeFill="accent3"/>
      </w:tcPr>
    </w:tblStylePr>
    <w:tblStylePr w:type="firstCol">
      <w:rPr>
        <w:rFonts w:ascii="Lato Semibold" w:hAnsi="Lato Semibold"/>
        <w:color w:val="09506C" w:themeColor="background2"/>
        <w:sz w:val="24"/>
      </w:rPr>
    </w:tblStylePr>
    <w:tblStylePr w:type="band1Horz">
      <w:tblPr/>
      <w:tcPr>
        <w:shd w:val="clear" w:color="auto" w:fill="D9D9D9" w:themeFill="background1" w:themeFillShade="D9"/>
      </w:tcPr>
    </w:tblStylePr>
  </w:style>
  <w:style w:type="paragraph" w:customStyle="1" w:styleId="CBMainHeading">
    <w:name w:val="CB_Main Heading"/>
    <w:basedOn w:val="Normal"/>
    <w:qFormat/>
    <w:rsid w:val="004D0EC8"/>
    <w:pPr>
      <w:spacing w:after="0" w:line="1056" w:lineRule="exact"/>
      <w:ind w:left="851" w:hanging="851"/>
    </w:pPr>
    <w:rPr>
      <w:color w:val="5EC5C2" w:themeColor="accent2"/>
      <w:sz w:val="88"/>
      <w:szCs w:val="88"/>
    </w:rPr>
  </w:style>
  <w:style w:type="character" w:customStyle="1" w:styleId="CBMainHeadingNumber">
    <w:name w:val="CB_Main Heading Number"/>
    <w:basedOn w:val="DefaultParagraphFont"/>
    <w:uiPriority w:val="1"/>
    <w:qFormat/>
    <w:rsid w:val="004000BF"/>
    <w:rPr>
      <w:color w:val="0083A0" w:themeColor="accent1"/>
    </w:rPr>
  </w:style>
  <w:style w:type="paragraph" w:customStyle="1" w:styleId="CBPull-outText">
    <w:name w:val="CB_Pull-out Text"/>
    <w:basedOn w:val="Normal"/>
    <w:qFormat/>
    <w:rsid w:val="0013439B"/>
    <w:pPr>
      <w:spacing w:after="147" w:line="380" w:lineRule="exact"/>
    </w:pPr>
    <w:rPr>
      <w:color w:val="0083A0" w:themeColor="accent1"/>
      <w:sz w:val="30"/>
      <w:szCs w:val="30"/>
    </w:rPr>
  </w:style>
  <w:style w:type="paragraph" w:customStyle="1" w:styleId="CBHighlightHeadingLimeBox">
    <w:name w:val="CB_Highlight Heading_LimeBox"/>
    <w:basedOn w:val="CBPull-outText"/>
    <w:qFormat/>
    <w:rsid w:val="00241DB5"/>
    <w:pPr>
      <w:spacing w:after="120" w:line="360" w:lineRule="exact"/>
    </w:pPr>
    <w:rPr>
      <w:rFonts w:asciiTheme="majorHAnsi" w:hAnsiTheme="majorHAnsi"/>
      <w:b/>
      <w:color w:val="09506C" w:themeColor="background2"/>
      <w:sz w:val="32"/>
      <w:szCs w:val="32"/>
    </w:rPr>
  </w:style>
  <w:style w:type="paragraph" w:customStyle="1" w:styleId="CBHighlightTextLimeBox">
    <w:name w:val="CB_Highlight Text_LimeBox"/>
    <w:basedOn w:val="CBPull-outText"/>
    <w:qFormat/>
    <w:rsid w:val="00241DB5"/>
    <w:pPr>
      <w:spacing w:after="120" w:line="360" w:lineRule="exact"/>
    </w:pPr>
    <w:rPr>
      <w:rFonts w:ascii="Lato Semibold" w:hAnsi="Lato Semibold"/>
      <w:color w:val="09506C" w:themeColor="background2"/>
      <w:sz w:val="28"/>
      <w:szCs w:val="28"/>
    </w:rPr>
  </w:style>
  <w:style w:type="paragraph" w:customStyle="1" w:styleId="CBFigureText">
    <w:name w:val="CB_Figure Text"/>
    <w:basedOn w:val="CBTableTitle"/>
    <w:qFormat/>
    <w:rsid w:val="00ED37D2"/>
    <w:rPr>
      <w:color w:val="0083A0" w:themeColor="accent1"/>
      <w:sz w:val="16"/>
      <w:szCs w:val="16"/>
    </w:rPr>
  </w:style>
  <w:style w:type="character" w:customStyle="1" w:styleId="CBFigureTitleDividerLine">
    <w:name w:val="CB_Figure Title Divider Line"/>
    <w:basedOn w:val="CBTableTitleDividerLine"/>
    <w:uiPriority w:val="1"/>
    <w:qFormat/>
    <w:rsid w:val="00ED37D2"/>
    <w:rPr>
      <w:color w:val="5EC5C2" w:themeColor="accent2"/>
    </w:rPr>
  </w:style>
  <w:style w:type="paragraph" w:customStyle="1" w:styleId="CBCoverTitleWhite">
    <w:name w:val="CB_Cover Title_White"/>
    <w:basedOn w:val="CBCoverTitleBold"/>
    <w:qFormat/>
    <w:rsid w:val="007D2A2E"/>
    <w:rPr>
      <w:noProof/>
      <w:color w:val="FFFFFF" w:themeColor="background1"/>
      <w:lang w:eastAsia="en-IE"/>
    </w:rPr>
  </w:style>
  <w:style w:type="paragraph" w:customStyle="1" w:styleId="CBCoverSubtitleLightWhite">
    <w:name w:val="CB_Cover Subtitle_Light_White"/>
    <w:basedOn w:val="CBCoverSubtitleLight"/>
    <w:qFormat/>
    <w:rsid w:val="007D2A2E"/>
    <w:rPr>
      <w:color w:val="FFFFFF" w:themeColor="background1"/>
    </w:rPr>
  </w:style>
  <w:style w:type="character" w:customStyle="1" w:styleId="Heading7Char">
    <w:name w:val="Heading 7 Char"/>
    <w:basedOn w:val="DefaultParagraphFont"/>
    <w:link w:val="Heading7"/>
    <w:rsid w:val="00A02084"/>
    <w:rPr>
      <w:rFonts w:ascii="Times New Roman" w:eastAsia="Times New Roman" w:hAnsi="Times New Roman" w:cs="Times New Roman"/>
      <w:b/>
      <w:bCs/>
      <w:szCs w:val="24"/>
    </w:rPr>
  </w:style>
  <w:style w:type="paragraph" w:styleId="BlockText">
    <w:name w:val="Block Text"/>
    <w:basedOn w:val="Normal"/>
    <w:semiHidden/>
    <w:rsid w:val="00A02084"/>
    <w:pPr>
      <w:spacing w:after="0" w:line="240" w:lineRule="auto"/>
      <w:ind w:left="113" w:right="113"/>
    </w:pPr>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02084"/>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A02084"/>
    <w:rPr>
      <w:rFonts w:ascii="Times New Roman" w:eastAsia="Times New Roman" w:hAnsi="Times New Roman" w:cs="Times New Roman"/>
      <w:szCs w:val="20"/>
      <w:lang w:val="en-GB"/>
    </w:rPr>
  </w:style>
  <w:style w:type="paragraph" w:styleId="ListParagraph">
    <w:name w:val="List Paragraph"/>
    <w:basedOn w:val="Normal"/>
    <w:uiPriority w:val="34"/>
    <w:qFormat/>
    <w:rsid w:val="00A02084"/>
    <w:pPr>
      <w:spacing w:after="0" w:line="360" w:lineRule="auto"/>
      <w:ind w:left="720"/>
    </w:pPr>
    <w:rPr>
      <w:rFonts w:ascii="Verdana" w:eastAsia="Times New Roman" w:hAnsi="Verdana" w:cs="Times New Roman"/>
      <w:szCs w:val="20"/>
      <w:lang w:val="en-GB"/>
    </w:rPr>
  </w:style>
  <w:style w:type="paragraph" w:customStyle="1" w:styleId="BodyText1">
    <w:name w:val="Body Text1"/>
    <w:basedOn w:val="Normal"/>
    <w:rsid w:val="00A02084"/>
    <w:pPr>
      <w:spacing w:after="0" w:line="360" w:lineRule="auto"/>
    </w:pPr>
    <w:rPr>
      <w:rFonts w:ascii="Verdana" w:eastAsia="Times New Roman" w:hAnsi="Verdana" w:cs="Times New Roman"/>
      <w:szCs w:val="20"/>
      <w:lang w:val="en-GB"/>
    </w:rPr>
  </w:style>
  <w:style w:type="character" w:styleId="FootnoteReference">
    <w:name w:val="footnote reference"/>
    <w:semiHidden/>
    <w:rsid w:val="00A02084"/>
    <w:rPr>
      <w:vertAlign w:val="superscript"/>
    </w:rPr>
  </w:style>
  <w:style w:type="paragraph" w:styleId="FootnoteText">
    <w:name w:val="footnote text"/>
    <w:basedOn w:val="Normal"/>
    <w:link w:val="FootnoteTextChar"/>
    <w:semiHidden/>
    <w:rsid w:val="00A020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084"/>
    <w:rPr>
      <w:rFonts w:ascii="Times New Roman" w:eastAsia="Times New Roman" w:hAnsi="Times New Roman" w:cs="Times New Roman"/>
      <w:sz w:val="20"/>
      <w:szCs w:val="20"/>
    </w:rPr>
  </w:style>
  <w:style w:type="paragraph" w:customStyle="1" w:styleId="TI">
    <w:name w:val="TI"/>
    <w:rsid w:val="00A02084"/>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A6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4E"/>
    <w:rPr>
      <w:rFonts w:ascii="Segoe UI" w:hAnsi="Segoe UI" w:cs="Segoe UI"/>
      <w:sz w:val="18"/>
      <w:szCs w:val="18"/>
    </w:rPr>
  </w:style>
  <w:style w:type="character" w:styleId="Hyperlink">
    <w:name w:val="Hyperlink"/>
    <w:basedOn w:val="DefaultParagraphFont"/>
    <w:uiPriority w:val="99"/>
    <w:semiHidden/>
    <w:unhideWhenUsed/>
    <w:rsid w:val="006D4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7267">
      <w:bodyDiv w:val="1"/>
      <w:marLeft w:val="0"/>
      <w:marRight w:val="0"/>
      <w:marTop w:val="0"/>
      <w:marBottom w:val="0"/>
      <w:divBdr>
        <w:top w:val="none" w:sz="0" w:space="0" w:color="auto"/>
        <w:left w:val="none" w:sz="0" w:space="0" w:color="auto"/>
        <w:bottom w:val="none" w:sz="0" w:space="0" w:color="auto"/>
        <w:right w:val="none" w:sz="0" w:space="0" w:color="auto"/>
      </w:divBdr>
    </w:div>
    <w:div w:id="18731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9058-FF5F-4995-91AB-8656556BE2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13D82E5-9D4E-459A-8A2D-FE61A25F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2018-05-24T11:08:00Z</dcterms:created>
  <dcterms:modified xsi:type="dcterms:W3CDTF">2018-05-24T11:08:00Z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cbec03fd-cfda-43fc-a833-90a756a6ad03</vt:lpwstr>
  </property>
  <property fmtid="{D5CDD505-2E9C-101B-9397-08002B2CF9AE}" pid="3" name="bjSaver">
    <vt:lpwstr>dghfQvIes4Mq9Tn4o3G3l4X3e5Prdmlp</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